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18" w:rsidRDefault="00BC4D51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632218" w:rsidRDefault="00BC4D51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632218" w:rsidRDefault="00BC4D51">
      <w:pPr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酒类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632218" w:rsidRDefault="00BC4D51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632218" w:rsidRDefault="00BC4D51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蒸馏酒及其配制酒》（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2757-2012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32218" w:rsidRDefault="00BC4D51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（二）检验项目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啤酒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抽检项目包括酒精度、铅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、甲醛、二氧化硫残留量、糖精钠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、警示语标注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葡萄酒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、二氧化硫残留量、糖精钠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、酒精度、铅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、三氯蔗糖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、纳他霉素、脱氢乙酸及其钠盐（以脱氢乙酸计）、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赭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、甲醇。</w:t>
      </w:r>
    </w:p>
    <w:p w:rsidR="00632218" w:rsidRDefault="00BC4D51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、炒货食品及坚果制品</w:t>
      </w:r>
    </w:p>
    <w:p w:rsidR="00632218" w:rsidRDefault="00BC4D51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632218" w:rsidRDefault="00BC4D51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坚果与籽类食品》（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19300-2014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32218" w:rsidRDefault="00BC4D51">
      <w:pPr>
        <w:spacing w:line="520" w:lineRule="exact"/>
        <w:ind w:leftChars="196" w:left="41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开心果、杏仁、松仁、瓜子抽检项目包括酸价（以脂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肪计）、过氧化值（以脂肪计）、铅（以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计）、三氯蔗糖、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纽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甜、二氧化硫残留量、大肠菌群、霉菌、沙门氏菌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其他炒货食品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及坚果制品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计）、三氯蔗糖、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纽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甜、二氧化硫残留量、大肠菌群、霉菌、沙门氏菌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632218" w:rsidRDefault="00BC4D51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632218" w:rsidRDefault="00BC4D51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32218" w:rsidRDefault="00BC4D51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32218" w:rsidRDefault="00BC4D51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糖果</w:t>
      </w:r>
    </w:p>
    <w:p w:rsidR="00632218" w:rsidRDefault="00BC4D51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lastRenderedPageBreak/>
        <w:t>（一）抽检依据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糖果》（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17399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632218" w:rsidRDefault="00BC4D51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糖果抽检项目包括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糖精钠（以糖精计）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、柠檬黄、苋菜红、胭脂红、日落黄、亮蓝、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藓红、二氧化硫残留量、菌落总数、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大肠菌群、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相同色泽着色剂混合使用时各自用量占其最大使用量的比例之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和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巧克力、巧克力制品、代可可巧克力及代可可巧克力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制品制品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二氧化硫残留量、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糖精钠（以糖精计）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沙门氏菌。</w:t>
      </w:r>
    </w:p>
    <w:p w:rsidR="00632218" w:rsidRDefault="00BC4D51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632218" w:rsidRDefault="00BC4D51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632218" w:rsidRDefault="00BC4D51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、《粽子》（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SB/T 10377-2004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632218" w:rsidRDefault="00BC4D51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lastRenderedPageBreak/>
        <w:t>（二）检验项目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火锅调味料（底料、蘸酱）抽检项目包括罂粟碱、吗啡、可待因、那可丁、蒂巴因。</w:t>
      </w:r>
    </w:p>
    <w:p w:rsidR="00632218" w:rsidRDefault="00BC4D5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煎炸过程用油抽检项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目包括酸价（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KOH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）、极性组分、苯并（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32218" w:rsidRDefault="00BC4D51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</w:p>
    <w:sectPr w:rsidR="00632218" w:rsidSect="0063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51" w:rsidRDefault="00BC4D51" w:rsidP="000E0DF1">
      <w:r>
        <w:separator/>
      </w:r>
    </w:p>
  </w:endnote>
  <w:endnote w:type="continuationSeparator" w:id="0">
    <w:p w:rsidR="00BC4D51" w:rsidRDefault="00BC4D51" w:rsidP="000E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51" w:rsidRDefault="00BC4D51" w:rsidP="000E0DF1">
      <w:r>
        <w:separator/>
      </w:r>
    </w:p>
  </w:footnote>
  <w:footnote w:type="continuationSeparator" w:id="0">
    <w:p w:rsidR="00BC4D51" w:rsidRDefault="00BC4D51" w:rsidP="000E0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0E0DF1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2218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BC4D51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26442"/>
    <w:rsid w:val="786D41B1"/>
    <w:rsid w:val="787207CA"/>
    <w:rsid w:val="78CF7AAF"/>
    <w:rsid w:val="78EE57FE"/>
    <w:rsid w:val="797F7871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63221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3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632218"/>
    <w:rPr>
      <w:color w:val="000000"/>
      <w:u w:val="none"/>
    </w:rPr>
  </w:style>
  <w:style w:type="character" w:styleId="a6">
    <w:name w:val="Hyperlink"/>
    <w:basedOn w:val="a0"/>
    <w:qFormat/>
    <w:rsid w:val="00632218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632218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6322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cp:lastPrinted>2019-07-08T01:55:00Z</cp:lastPrinted>
  <dcterms:created xsi:type="dcterms:W3CDTF">2014-10-29T12:08:00Z</dcterms:created>
  <dcterms:modified xsi:type="dcterms:W3CDTF">2019-07-08T02:01:00Z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