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1" w:rsidRDefault="000A08FD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D93BC1" w:rsidRDefault="000A08FD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D93BC1" w:rsidRDefault="000A08FD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一、饮料</w:t>
      </w:r>
    </w:p>
    <w:p w:rsidR="00D93BC1" w:rsidRDefault="000A08FD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D93BC1" w:rsidRDefault="000A08FD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包装饮用水》（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19298-2014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D93BC1" w:rsidRDefault="000A08FD">
      <w:pPr>
        <w:spacing w:line="520" w:lineRule="exact"/>
        <w:ind w:firstLine="64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饮用纯净水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抽检项目包括浑浊度、耗氧量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、余氯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游离氯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、三氯甲烷、四氯化碳、溴酸盐、大肠菌群、铜绿假单胞菌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其他饮用水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抽检项目包括浑浊度、耗氧量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、余氯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游离氯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、三氯甲烷、四氯化碳、溴酸盐、挥发性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以苯酚计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、大肠菌群、铜绿假单胞菌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93BC1" w:rsidRDefault="000A08FD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方便食品</w:t>
      </w:r>
    </w:p>
    <w:p w:rsidR="00D93BC1" w:rsidRDefault="000A08FD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93BC1" w:rsidRDefault="000A08FD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油炸面、非油炸面、方便米粉（米线）、方便粉丝抽检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项目包括酸价（以脂肪计）、过氧化值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以脂肪计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93BC1" w:rsidRDefault="000A08FD">
      <w:pPr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酒类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D93BC1" w:rsidRDefault="000A08F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D93BC1" w:rsidRDefault="000A08FD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蒸馏酒及其配制酒》（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2757-2012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93BC1" w:rsidRDefault="000A08F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（二）检验项目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白酒、白酒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液态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、白酒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原酒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抽检项目包括酒精度、铅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、甲醇、氰化物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HCN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、三氯蔗糖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93BC1" w:rsidRDefault="000A08FD">
      <w:pPr>
        <w:spacing w:line="520" w:lineRule="exact"/>
        <w:ind w:firstLine="641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、淀粉及淀粉制品</w:t>
      </w:r>
    </w:p>
    <w:p w:rsidR="00D93BC1" w:rsidRDefault="000A08F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D93BC1" w:rsidRDefault="000A08FD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）食品等标准及产品明示标准和指标的要求。</w:t>
      </w:r>
    </w:p>
    <w:p w:rsidR="00D93BC1" w:rsidRDefault="000A08FD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粉丝粉条等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、二氧化硫残留量、菌落总数、大肠菌群、沙门氏菌、金黄色葡萄球菌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93BC1" w:rsidRDefault="000A08FD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D93BC1" w:rsidRDefault="000A08FD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lastRenderedPageBreak/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D93BC1" w:rsidRDefault="000A08FD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、《粽子》（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SB/T 10377-2004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D93BC1" w:rsidRDefault="000A08FD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果蔬汁等饮料抽检项目包括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计）、安赛蜜（乙酰磺胺酸钾）、糖精钠（以糖精计）、柠檬黄、日落黄、胭脂红、苋菜红、亮蓝、沙门氏菌、金黄色葡萄球菌。</w:t>
      </w:r>
    </w:p>
    <w:p w:rsidR="00D93BC1" w:rsidRDefault="000A08FD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餐馆用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餐饮具抽检项目包括游离性余氯、沙门氏菌。</w:t>
      </w:r>
    </w:p>
    <w:p w:rsidR="00D93BC1" w:rsidRDefault="000A08FD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lastRenderedPageBreak/>
        <w:t>国抽实施细则》。</w:t>
      </w:r>
      <w:bookmarkStart w:id="0" w:name="_GoBack"/>
      <w:bookmarkEnd w:id="0"/>
    </w:p>
    <w:sectPr w:rsidR="00D93BC1" w:rsidSect="00D9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FD" w:rsidRDefault="000A08FD" w:rsidP="00B07B8E">
      <w:r>
        <w:separator/>
      </w:r>
    </w:p>
  </w:endnote>
  <w:endnote w:type="continuationSeparator" w:id="0">
    <w:p w:rsidR="000A08FD" w:rsidRDefault="000A08FD" w:rsidP="00B0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FD" w:rsidRDefault="000A08FD" w:rsidP="00B07B8E">
      <w:r>
        <w:separator/>
      </w:r>
    </w:p>
  </w:footnote>
  <w:footnote w:type="continuationSeparator" w:id="0">
    <w:p w:rsidR="000A08FD" w:rsidRDefault="000A08FD" w:rsidP="00B07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CF1"/>
    <w:multiLevelType w:val="singleLevel"/>
    <w:tmpl w:val="59019CF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A08FD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07B8E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93BC1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555F40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93BC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3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93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D93BC1"/>
    <w:rPr>
      <w:color w:val="000000"/>
      <w:u w:val="none"/>
    </w:rPr>
  </w:style>
  <w:style w:type="character" w:styleId="a6">
    <w:name w:val="Hyperlink"/>
    <w:basedOn w:val="a0"/>
    <w:qFormat/>
    <w:rsid w:val="00D93BC1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D93BC1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D93B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