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02" w:rsidRDefault="00992402">
      <w:pPr>
        <w:pStyle w:val="NormalWeb"/>
        <w:shd w:val="clear" w:color="auto" w:fill="FFFFFF"/>
        <w:spacing w:before="0" w:beforeAutospacing="0" w:after="0" w:afterAutospacing="0" w:line="390" w:lineRule="atLeast"/>
        <w:jc w:val="center"/>
        <w:rPr>
          <w:rFonts w:ascii="方正小标宋简体" w:eastAsia="方正小标宋简体" w:hAnsi="Calibri" w:cs="Times New Roman"/>
          <w:color w:val="000000"/>
          <w:sz w:val="36"/>
          <w:szCs w:val="36"/>
        </w:rPr>
      </w:pPr>
    </w:p>
    <w:p w:rsidR="00992402" w:rsidRDefault="00992402">
      <w:pPr>
        <w:pStyle w:val="NormalWeb"/>
        <w:shd w:val="clear" w:color="auto" w:fill="FFFFFF"/>
        <w:spacing w:before="0" w:beforeAutospacing="0" w:after="0" w:afterAutospacing="0" w:line="390" w:lineRule="atLeast"/>
        <w:jc w:val="center"/>
        <w:rPr>
          <w:rFonts w:ascii="黑体" w:eastAsia="黑体" w:hAnsi="黑体" w:cs="Times New Roman"/>
          <w:color w:val="333333"/>
          <w:sz w:val="44"/>
          <w:szCs w:val="44"/>
        </w:rPr>
      </w:pPr>
      <w:r>
        <w:rPr>
          <w:rFonts w:ascii="黑体" w:eastAsia="黑体" w:hAnsi="黑体" w:cs="黑体" w:hint="eastAsia"/>
          <w:color w:val="000000"/>
          <w:sz w:val="44"/>
          <w:szCs w:val="44"/>
        </w:rPr>
        <w:t>新乡市市场监督管理局</w:t>
      </w:r>
    </w:p>
    <w:p w:rsidR="00992402" w:rsidRDefault="00992402">
      <w:pPr>
        <w:pStyle w:val="NormalWeb"/>
        <w:shd w:val="clear" w:color="auto" w:fill="FFFFFF"/>
        <w:spacing w:before="0" w:beforeAutospacing="0" w:after="0" w:afterAutospacing="0" w:line="390" w:lineRule="atLeast"/>
        <w:jc w:val="center"/>
        <w:rPr>
          <w:rFonts w:ascii="黑体" w:eastAsia="黑体" w:hAnsi="黑体" w:cs="Times New Roman"/>
          <w:color w:val="333333"/>
          <w:sz w:val="44"/>
          <w:szCs w:val="44"/>
        </w:rPr>
      </w:pPr>
      <w:r>
        <w:rPr>
          <w:rFonts w:ascii="黑体" w:eastAsia="黑体" w:hAnsi="黑体" w:cs="黑体" w:hint="eastAsia"/>
          <w:color w:val="000000"/>
          <w:sz w:val="44"/>
          <w:szCs w:val="44"/>
        </w:rPr>
        <w:t>关于</w:t>
      </w:r>
      <w:r>
        <w:rPr>
          <w:rFonts w:ascii="黑体" w:eastAsia="黑体" w:hAnsi="黑体" w:cs="黑体"/>
          <w:color w:val="000000"/>
          <w:sz w:val="44"/>
          <w:szCs w:val="44"/>
        </w:rPr>
        <w:t>1</w:t>
      </w:r>
      <w:r>
        <w:rPr>
          <w:rFonts w:ascii="黑体" w:eastAsia="黑体" w:hAnsi="黑体" w:cs="黑体" w:hint="eastAsia"/>
          <w:color w:val="000000"/>
          <w:sz w:val="44"/>
          <w:szCs w:val="44"/>
        </w:rPr>
        <w:t>批次不合格食品核查处置情况的通告</w:t>
      </w:r>
    </w:p>
    <w:p w:rsidR="00992402" w:rsidRDefault="00992402">
      <w:pPr>
        <w:pStyle w:val="NormalWeb"/>
        <w:shd w:val="clear" w:color="auto" w:fill="FFFFFF"/>
        <w:spacing w:before="0" w:beforeAutospacing="0" w:after="0" w:afterAutospacing="0" w:line="390" w:lineRule="atLeast"/>
        <w:jc w:val="both"/>
        <w:rPr>
          <w:rFonts w:ascii="Calibri" w:hAnsi="Calibri" w:cs="Calibri"/>
          <w:color w:val="333333"/>
          <w:sz w:val="21"/>
          <w:szCs w:val="21"/>
        </w:rPr>
      </w:pPr>
      <w:r>
        <w:rPr>
          <w:rFonts w:ascii="仿宋_GB2312" w:eastAsia="仿宋_GB2312" w:hAnsi="Calibri" w:cs="仿宋_GB2312" w:hint="eastAsia"/>
          <w:b/>
          <w:bCs/>
          <w:color w:val="000000"/>
          <w:sz w:val="32"/>
          <w:szCs w:val="32"/>
        </w:rPr>
        <w:t> </w:t>
      </w:r>
    </w:p>
    <w:p w:rsidR="00992402" w:rsidRDefault="00992402">
      <w:pPr>
        <w:pStyle w:val="NormalWeb"/>
        <w:shd w:val="clear" w:color="auto" w:fill="FFFFFF"/>
        <w:spacing w:before="0" w:beforeAutospacing="0" w:after="0" w:afterAutospacing="0"/>
        <w:jc w:val="both"/>
        <w:rPr>
          <w:rFonts w:ascii="仿宋" w:eastAsia="仿宋" w:hAnsi="仿宋" w:cs="Times New Roman"/>
          <w:b/>
          <w:bCs/>
          <w:color w:val="333333"/>
          <w:sz w:val="32"/>
          <w:szCs w:val="32"/>
        </w:rPr>
      </w:pPr>
      <w:r>
        <w:rPr>
          <w:rFonts w:hint="eastAsia"/>
          <w:color w:val="000000"/>
          <w:sz w:val="28"/>
          <w:szCs w:val="28"/>
        </w:rPr>
        <w:t> </w:t>
      </w:r>
      <w:r>
        <w:rPr>
          <w:rFonts w:hint="eastAsia"/>
          <w:color w:val="000000"/>
          <w:sz w:val="28"/>
          <w:szCs w:val="28"/>
        </w:rPr>
        <w:t> </w:t>
      </w:r>
      <w:r>
        <w:rPr>
          <w:rFonts w:hint="eastAsia"/>
          <w:color w:val="000000"/>
          <w:sz w:val="28"/>
          <w:szCs w:val="28"/>
        </w:rPr>
        <w:t> </w:t>
      </w:r>
      <w:r>
        <w:rPr>
          <w:rFonts w:ascii="仿宋" w:eastAsia="仿宋" w:hAnsi="仿宋" w:cs="仿宋"/>
          <w:color w:val="000000"/>
          <w:sz w:val="32"/>
          <w:szCs w:val="32"/>
        </w:rPr>
        <w:t xml:space="preserve"> </w:t>
      </w:r>
      <w:r>
        <w:rPr>
          <w:rFonts w:ascii="仿宋" w:eastAsia="仿宋" w:hAnsi="仿宋" w:cs="仿宋" w:hint="eastAsia"/>
          <w:color w:val="000000"/>
          <w:sz w:val="32"/>
          <w:szCs w:val="32"/>
        </w:rPr>
        <w:t>河南省市场监督管理局发布的《关于</w:t>
      </w:r>
      <w:r>
        <w:rPr>
          <w:rFonts w:ascii="仿宋" w:eastAsia="仿宋" w:hAnsi="仿宋" w:cs="仿宋"/>
          <w:color w:val="000000"/>
          <w:sz w:val="32"/>
          <w:szCs w:val="32"/>
        </w:rPr>
        <w:t>7</w:t>
      </w:r>
      <w:r>
        <w:rPr>
          <w:rFonts w:ascii="仿宋" w:eastAsia="仿宋" w:hAnsi="仿宋" w:cs="仿宋" w:hint="eastAsia"/>
          <w:color w:val="000000"/>
          <w:sz w:val="32"/>
          <w:szCs w:val="32"/>
        </w:rPr>
        <w:t>批次食品不合格情况的通告》（</w:t>
      </w:r>
      <w:r>
        <w:rPr>
          <w:rFonts w:ascii="仿宋" w:eastAsia="仿宋" w:hAnsi="仿宋" w:cs="仿宋"/>
          <w:color w:val="000000"/>
          <w:sz w:val="32"/>
          <w:szCs w:val="32"/>
        </w:rPr>
        <w:t>2019</w:t>
      </w:r>
      <w:r>
        <w:rPr>
          <w:rFonts w:ascii="仿宋" w:eastAsia="仿宋" w:hAnsi="仿宋" w:cs="仿宋" w:hint="eastAsia"/>
          <w:color w:val="000000"/>
          <w:sz w:val="32"/>
          <w:szCs w:val="32"/>
        </w:rPr>
        <w:t>年第</w:t>
      </w:r>
      <w:r>
        <w:rPr>
          <w:rFonts w:ascii="仿宋" w:eastAsia="仿宋" w:hAnsi="仿宋" w:cs="仿宋"/>
          <w:color w:val="000000"/>
          <w:sz w:val="32"/>
          <w:szCs w:val="32"/>
        </w:rPr>
        <w:t>38</w:t>
      </w:r>
      <w:r>
        <w:rPr>
          <w:rFonts w:ascii="仿宋" w:eastAsia="仿宋" w:hAnsi="仿宋" w:cs="仿宋" w:hint="eastAsia"/>
          <w:color w:val="000000"/>
          <w:sz w:val="32"/>
          <w:szCs w:val="32"/>
        </w:rPr>
        <w:t>期）涉及我辖区</w:t>
      </w:r>
      <w:r>
        <w:rPr>
          <w:rFonts w:ascii="仿宋" w:eastAsia="仿宋" w:hAnsi="仿宋" w:cs="仿宋"/>
          <w:color w:val="000000"/>
          <w:sz w:val="32"/>
          <w:szCs w:val="32"/>
        </w:rPr>
        <w:t>1</w:t>
      </w:r>
      <w:r>
        <w:rPr>
          <w:rFonts w:ascii="仿宋" w:eastAsia="仿宋" w:hAnsi="仿宋" w:cs="仿宋" w:hint="eastAsia"/>
          <w:color w:val="000000"/>
          <w:sz w:val="32"/>
          <w:szCs w:val="32"/>
        </w:rPr>
        <w:t>批次不合格食品，现将核查处置情况通告如下：</w:t>
      </w:r>
    </w:p>
    <w:p w:rsidR="00992402" w:rsidRDefault="00992402" w:rsidP="00554F9A">
      <w:pPr>
        <w:pStyle w:val="NormalWeb"/>
        <w:shd w:val="clear" w:color="auto" w:fill="FFFFFF"/>
        <w:spacing w:before="0" w:beforeAutospacing="0" w:after="0" w:afterAutospacing="0"/>
        <w:ind w:firstLineChars="200" w:firstLine="31680"/>
        <w:jc w:val="both"/>
        <w:rPr>
          <w:rFonts w:ascii="仿宋" w:eastAsia="仿宋" w:hAnsi="仿宋" w:cs="Times New Roman"/>
          <w:b/>
          <w:bCs/>
          <w:color w:val="333333"/>
          <w:sz w:val="32"/>
          <w:szCs w:val="32"/>
        </w:rPr>
      </w:pPr>
      <w:r>
        <w:rPr>
          <w:rFonts w:ascii="仿宋" w:eastAsia="仿宋" w:hAnsi="仿宋" w:cs="仿宋" w:hint="eastAsia"/>
          <w:b/>
          <w:bCs/>
          <w:color w:val="333333"/>
          <w:sz w:val="32"/>
          <w:szCs w:val="32"/>
        </w:rPr>
        <w:t>一、抽检基本情况</w:t>
      </w:r>
    </w:p>
    <w:p w:rsidR="00992402" w:rsidRDefault="00992402">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color w:val="000000"/>
          <w:sz w:val="32"/>
          <w:szCs w:val="32"/>
        </w:rPr>
        <w:t xml:space="preserve"> </w:t>
      </w:r>
      <w:r>
        <w:rPr>
          <w:rFonts w:ascii="仿宋" w:eastAsia="仿宋" w:hAnsi="仿宋" w:cs="仿宋" w:hint="eastAsia"/>
          <w:color w:val="000000"/>
          <w:sz w:val="32"/>
          <w:szCs w:val="32"/>
        </w:rPr>
        <w:t>辉县市中富饮品有限公司销售的“包装饮用水”，经河南省口岸食品检验检测所检验，溴酸盐不符合食品安全国家标准规定。</w:t>
      </w:r>
    </w:p>
    <w:p w:rsidR="00992402" w:rsidRDefault="00992402">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b/>
          <w:bCs/>
          <w:color w:val="333333"/>
          <w:sz w:val="32"/>
          <w:szCs w:val="32"/>
        </w:rPr>
        <w:t xml:space="preserve"> </w:t>
      </w:r>
      <w:r>
        <w:rPr>
          <w:rFonts w:ascii="仿宋" w:eastAsia="仿宋" w:hAnsi="仿宋" w:cs="仿宋" w:hint="eastAsia"/>
          <w:b/>
          <w:bCs/>
          <w:color w:val="333333"/>
          <w:sz w:val="32"/>
          <w:szCs w:val="32"/>
        </w:rPr>
        <w:t>二、查处情况</w:t>
      </w:r>
    </w:p>
    <w:p w:rsidR="00992402" w:rsidRDefault="00992402">
      <w:pPr>
        <w:pStyle w:val="NormalWeb"/>
        <w:shd w:val="clear" w:color="auto" w:fill="FFFFFF"/>
        <w:spacing w:before="0" w:beforeAutospacing="0" w:after="0" w:afterAutospacing="0"/>
        <w:jc w:val="both"/>
        <w:rPr>
          <w:rFonts w:ascii="仿宋" w:eastAsia="仿宋" w:hAnsi="仿宋" w:cs="Times New Roman"/>
          <w:color w:val="333333"/>
          <w:sz w:val="32"/>
          <w:szCs w:val="32"/>
        </w:rPr>
      </w:pPr>
      <w:bookmarkStart w:id="0" w:name="_GoBack"/>
      <w:bookmarkEnd w:id="0"/>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收到不合格检验报告后，辉县市市场监督管理局执法人员依法分别向辉县市中富饮品有限公司送达《国家食品安全抽样检验结果通知书》《国家食品安全抽样检验抽样单》《国家食品安全抽样检验告知书》《检验报告》，告知其享有异议或复检申请权利，</w:t>
      </w:r>
      <w:r>
        <w:rPr>
          <w:rFonts w:ascii="仿宋" w:eastAsia="仿宋" w:hAnsi="仿宋" w:cs="仿宋" w:hint="eastAsia"/>
          <w:color w:val="000000"/>
          <w:sz w:val="32"/>
          <w:szCs w:val="32"/>
        </w:rPr>
        <w:t>该公司</w:t>
      </w:r>
      <w:r>
        <w:rPr>
          <w:rFonts w:ascii="仿宋" w:eastAsia="仿宋" w:hAnsi="仿宋" w:cs="仿宋" w:hint="eastAsia"/>
          <w:color w:val="333333"/>
          <w:sz w:val="32"/>
          <w:szCs w:val="32"/>
        </w:rPr>
        <w:t>在法定时间内向河南省市场监督管理局提出异议申请，省局于</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8</w:t>
      </w:r>
      <w:r>
        <w:rPr>
          <w:rFonts w:ascii="仿宋" w:eastAsia="仿宋" w:hAnsi="仿宋" w:cs="仿宋" w:hint="eastAsia"/>
          <w:color w:val="333333"/>
          <w:sz w:val="32"/>
          <w:szCs w:val="32"/>
        </w:rPr>
        <w:t>月</w:t>
      </w:r>
      <w:r>
        <w:rPr>
          <w:rFonts w:ascii="仿宋" w:eastAsia="仿宋" w:hAnsi="仿宋" w:cs="仿宋"/>
          <w:color w:val="333333"/>
          <w:sz w:val="32"/>
          <w:szCs w:val="32"/>
        </w:rPr>
        <w:t>8</w:t>
      </w:r>
      <w:r>
        <w:rPr>
          <w:rFonts w:ascii="仿宋" w:eastAsia="仿宋" w:hAnsi="仿宋" w:cs="仿宋" w:hint="eastAsia"/>
          <w:color w:val="333333"/>
          <w:sz w:val="32"/>
          <w:szCs w:val="32"/>
        </w:rPr>
        <w:t>日复函，对该公司提出的异议不予认可。</w:t>
      </w:r>
    </w:p>
    <w:p w:rsidR="00992402" w:rsidRDefault="00992402">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经调查，</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02</w:t>
      </w:r>
      <w:r>
        <w:rPr>
          <w:rFonts w:ascii="仿宋" w:eastAsia="仿宋" w:hAnsi="仿宋" w:cs="仿宋" w:hint="eastAsia"/>
          <w:color w:val="333333"/>
          <w:sz w:val="32"/>
          <w:szCs w:val="32"/>
        </w:rPr>
        <w:t>月</w:t>
      </w:r>
      <w:r>
        <w:rPr>
          <w:rFonts w:ascii="仿宋" w:eastAsia="仿宋" w:hAnsi="仿宋" w:cs="仿宋"/>
          <w:color w:val="333333"/>
          <w:sz w:val="32"/>
          <w:szCs w:val="32"/>
        </w:rPr>
        <w:t>26</w:t>
      </w:r>
      <w:r>
        <w:rPr>
          <w:rFonts w:ascii="仿宋" w:eastAsia="仿宋" w:hAnsi="仿宋" w:cs="仿宋" w:hint="eastAsia"/>
          <w:color w:val="333333"/>
          <w:sz w:val="32"/>
          <w:szCs w:val="32"/>
        </w:rPr>
        <w:t>日，辉县市中富饮品有限公司生产该批次“包装饮用水”（</w:t>
      </w:r>
      <w:r>
        <w:rPr>
          <w:rFonts w:ascii="仿宋" w:eastAsia="仿宋" w:hAnsi="仿宋" w:cs="仿宋"/>
          <w:color w:val="333333"/>
          <w:sz w:val="32"/>
          <w:szCs w:val="32"/>
        </w:rPr>
        <w:t>999ml/</w:t>
      </w:r>
      <w:r>
        <w:rPr>
          <w:rFonts w:ascii="仿宋" w:eastAsia="仿宋" w:hAnsi="仿宋" w:cs="仿宋" w:hint="eastAsia"/>
          <w:color w:val="333333"/>
          <w:sz w:val="32"/>
          <w:szCs w:val="32"/>
        </w:rPr>
        <w:t>瓶）共</w:t>
      </w:r>
      <w:r>
        <w:rPr>
          <w:rFonts w:ascii="仿宋" w:eastAsia="仿宋" w:hAnsi="仿宋" w:cs="仿宋"/>
          <w:color w:val="333333"/>
          <w:sz w:val="32"/>
          <w:szCs w:val="32"/>
        </w:rPr>
        <w:t>30</w:t>
      </w:r>
      <w:r>
        <w:rPr>
          <w:rFonts w:ascii="仿宋" w:eastAsia="仿宋" w:hAnsi="仿宋" w:cs="仿宋" w:hint="eastAsia"/>
          <w:color w:val="333333"/>
          <w:sz w:val="32"/>
          <w:szCs w:val="32"/>
        </w:rPr>
        <w:t>瓶，销售</w:t>
      </w:r>
      <w:r>
        <w:rPr>
          <w:rFonts w:ascii="仿宋" w:eastAsia="仿宋" w:hAnsi="仿宋" w:cs="仿宋"/>
          <w:color w:val="333333"/>
          <w:sz w:val="32"/>
          <w:szCs w:val="32"/>
        </w:rPr>
        <w:t>30</w:t>
      </w:r>
      <w:r>
        <w:rPr>
          <w:rFonts w:ascii="仿宋" w:eastAsia="仿宋" w:hAnsi="仿宋" w:cs="仿宋" w:hint="eastAsia"/>
          <w:color w:val="333333"/>
          <w:sz w:val="32"/>
          <w:szCs w:val="32"/>
        </w:rPr>
        <w:t>瓶，销售</w:t>
      </w:r>
      <w:r>
        <w:rPr>
          <w:rFonts w:ascii="仿宋" w:eastAsia="仿宋" w:hAnsi="仿宋" w:cs="仿宋" w:hint="eastAsia"/>
          <w:color w:val="000000"/>
          <w:sz w:val="32"/>
          <w:szCs w:val="32"/>
        </w:rPr>
        <w:t>价格</w:t>
      </w:r>
      <w:r>
        <w:rPr>
          <w:rFonts w:ascii="仿宋" w:eastAsia="仿宋" w:hAnsi="仿宋" w:cs="仿宋"/>
          <w:color w:val="000000"/>
          <w:sz w:val="32"/>
          <w:szCs w:val="32"/>
        </w:rPr>
        <w:t>9</w:t>
      </w:r>
      <w:r>
        <w:rPr>
          <w:rFonts w:ascii="仿宋" w:eastAsia="仿宋" w:hAnsi="仿宋" w:cs="仿宋" w:hint="eastAsia"/>
          <w:color w:val="333333"/>
          <w:sz w:val="32"/>
          <w:szCs w:val="32"/>
        </w:rPr>
        <w:t>元</w:t>
      </w:r>
      <w:r>
        <w:rPr>
          <w:rFonts w:ascii="仿宋" w:eastAsia="仿宋" w:hAnsi="仿宋" w:cs="仿宋"/>
          <w:color w:val="333333"/>
          <w:sz w:val="32"/>
          <w:szCs w:val="32"/>
        </w:rPr>
        <w:t>/</w:t>
      </w:r>
      <w:r>
        <w:rPr>
          <w:rFonts w:ascii="仿宋" w:eastAsia="仿宋" w:hAnsi="仿宋" w:cs="仿宋" w:hint="eastAsia"/>
          <w:color w:val="333333"/>
          <w:sz w:val="32"/>
          <w:szCs w:val="32"/>
        </w:rPr>
        <w:t>瓶，销售金额共</w:t>
      </w:r>
      <w:r>
        <w:rPr>
          <w:rFonts w:ascii="仿宋" w:eastAsia="仿宋" w:hAnsi="仿宋" w:cs="仿宋"/>
          <w:color w:val="333333"/>
          <w:sz w:val="32"/>
          <w:szCs w:val="32"/>
        </w:rPr>
        <w:t>270</w:t>
      </w:r>
      <w:r>
        <w:rPr>
          <w:rFonts w:ascii="仿宋" w:eastAsia="仿宋" w:hAnsi="仿宋" w:cs="仿宋" w:hint="eastAsia"/>
          <w:color w:val="333333"/>
          <w:sz w:val="32"/>
          <w:szCs w:val="32"/>
        </w:rPr>
        <w:t>元。该产品已全部销售完毕，无产品召回。</w:t>
      </w:r>
    </w:p>
    <w:p w:rsidR="00992402" w:rsidRDefault="00992402">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辉县市中富饮品食品有限公司销售</w:t>
      </w:r>
      <w:r>
        <w:rPr>
          <w:rFonts w:ascii="仿宋" w:eastAsia="仿宋" w:hAnsi="仿宋" w:cs="仿宋" w:hint="eastAsia"/>
          <w:sz w:val="32"/>
          <w:szCs w:val="32"/>
        </w:rPr>
        <w:t>不符合食品安全国家标准规定的行为，</w:t>
      </w:r>
      <w:r>
        <w:rPr>
          <w:rFonts w:ascii="仿宋" w:eastAsia="仿宋" w:hAnsi="仿宋" w:cs="仿宋" w:hint="eastAsia"/>
          <w:color w:val="333333"/>
          <w:sz w:val="32"/>
          <w:szCs w:val="32"/>
        </w:rPr>
        <w:t>违反了《中华人民共和国食品安全法》第三十四条第一款第十三项之规定，依据《中华人民共和国食品安全法》第一百二十四条第二款的规定，辉县市市场监督管理局决定对辉县市中富饮品有限公司作出以下行政处罚决定：</w:t>
      </w:r>
      <w:r>
        <w:rPr>
          <w:rFonts w:ascii="仿宋" w:eastAsia="仿宋" w:hAnsi="仿宋" w:cs="仿宋"/>
          <w:color w:val="333333"/>
          <w:sz w:val="32"/>
          <w:szCs w:val="32"/>
        </w:rPr>
        <w:t>1.</w:t>
      </w:r>
      <w:r>
        <w:rPr>
          <w:rFonts w:ascii="仿宋" w:eastAsia="仿宋" w:hAnsi="仿宋" w:cs="仿宋" w:hint="eastAsia"/>
          <w:color w:val="333333"/>
          <w:sz w:val="32"/>
          <w:szCs w:val="32"/>
        </w:rPr>
        <w:t>没收违法所得</w:t>
      </w:r>
      <w:r>
        <w:rPr>
          <w:rFonts w:ascii="仿宋" w:eastAsia="仿宋" w:hAnsi="仿宋" w:cs="仿宋"/>
          <w:color w:val="333333"/>
          <w:sz w:val="32"/>
          <w:szCs w:val="32"/>
        </w:rPr>
        <w:t>30</w:t>
      </w:r>
      <w:r>
        <w:rPr>
          <w:rFonts w:ascii="仿宋" w:eastAsia="仿宋" w:hAnsi="仿宋" w:cs="仿宋" w:hint="eastAsia"/>
          <w:color w:val="333333"/>
          <w:sz w:val="32"/>
          <w:szCs w:val="32"/>
        </w:rPr>
        <w:t>元；</w:t>
      </w:r>
      <w:r>
        <w:rPr>
          <w:rFonts w:ascii="仿宋" w:eastAsia="仿宋" w:hAnsi="仿宋" w:cs="仿宋"/>
          <w:color w:val="333333"/>
          <w:sz w:val="32"/>
          <w:szCs w:val="32"/>
        </w:rPr>
        <w:t>2.</w:t>
      </w:r>
      <w:r>
        <w:rPr>
          <w:rFonts w:ascii="仿宋" w:eastAsia="仿宋" w:hAnsi="仿宋" w:cs="仿宋" w:hint="eastAsia"/>
          <w:color w:val="333333"/>
          <w:sz w:val="32"/>
          <w:szCs w:val="32"/>
        </w:rPr>
        <w:t>并处罚款</w:t>
      </w:r>
      <w:r>
        <w:rPr>
          <w:rFonts w:ascii="仿宋" w:eastAsia="仿宋" w:hAnsi="仿宋" w:cs="仿宋"/>
          <w:color w:val="333333"/>
          <w:sz w:val="32"/>
          <w:szCs w:val="32"/>
        </w:rPr>
        <w:t>50000</w:t>
      </w:r>
      <w:r>
        <w:rPr>
          <w:rFonts w:ascii="仿宋" w:eastAsia="仿宋" w:hAnsi="仿宋" w:cs="仿宋" w:hint="eastAsia"/>
          <w:color w:val="333333"/>
          <w:sz w:val="32"/>
          <w:szCs w:val="32"/>
        </w:rPr>
        <w:t>元。罚没合计：</w:t>
      </w:r>
      <w:r>
        <w:rPr>
          <w:rFonts w:ascii="仿宋" w:eastAsia="仿宋" w:hAnsi="仿宋" w:cs="仿宋"/>
          <w:color w:val="333333"/>
          <w:sz w:val="32"/>
          <w:szCs w:val="32"/>
        </w:rPr>
        <w:t>50030</w:t>
      </w:r>
      <w:r>
        <w:rPr>
          <w:rFonts w:ascii="仿宋" w:eastAsia="仿宋" w:hAnsi="仿宋" w:cs="仿宋" w:hint="eastAsia"/>
          <w:color w:val="333333"/>
          <w:sz w:val="32"/>
          <w:szCs w:val="32"/>
        </w:rPr>
        <w:t>元。行政处罚决定书编号为：（辉）市监食罚﹝</w:t>
      </w:r>
      <w:r>
        <w:rPr>
          <w:rFonts w:ascii="仿宋" w:eastAsia="仿宋" w:hAnsi="仿宋" w:cs="仿宋"/>
          <w:color w:val="333333"/>
          <w:sz w:val="32"/>
          <w:szCs w:val="32"/>
        </w:rPr>
        <w:t>2019</w:t>
      </w:r>
      <w:r>
        <w:rPr>
          <w:rFonts w:ascii="仿宋" w:eastAsia="仿宋" w:hAnsi="仿宋" w:cs="仿宋" w:hint="eastAsia"/>
          <w:color w:val="333333"/>
          <w:sz w:val="32"/>
          <w:szCs w:val="32"/>
        </w:rPr>
        <w:t>﹞</w:t>
      </w:r>
      <w:r>
        <w:rPr>
          <w:rFonts w:ascii="仿宋" w:eastAsia="仿宋" w:hAnsi="仿宋" w:cs="仿宋"/>
          <w:color w:val="333333"/>
          <w:sz w:val="32"/>
          <w:szCs w:val="32"/>
        </w:rPr>
        <w:t>1-122</w:t>
      </w:r>
      <w:r>
        <w:rPr>
          <w:rFonts w:ascii="仿宋" w:eastAsia="仿宋" w:hAnsi="仿宋" w:cs="仿宋" w:hint="eastAsia"/>
          <w:color w:val="333333"/>
          <w:sz w:val="32"/>
          <w:szCs w:val="32"/>
        </w:rPr>
        <w:t>号。</w:t>
      </w:r>
    </w:p>
    <w:p w:rsidR="00992402" w:rsidRDefault="00992402">
      <w:pPr>
        <w:pStyle w:val="NormalWeb"/>
        <w:shd w:val="clear" w:color="auto" w:fill="FFFFFF"/>
        <w:spacing w:before="0" w:beforeAutospacing="0" w:after="0" w:afterAutospacing="0"/>
        <w:jc w:val="both"/>
        <w:rPr>
          <w:rFonts w:ascii="仿宋" w:eastAsia="仿宋" w:hAnsi="仿宋" w:cs="Times New Roman"/>
          <w:b/>
          <w:bCs/>
          <w:color w:val="333333"/>
          <w:sz w:val="32"/>
          <w:szCs w:val="32"/>
        </w:rPr>
      </w:pPr>
    </w:p>
    <w:p w:rsidR="00992402" w:rsidRDefault="00992402">
      <w:pPr>
        <w:pStyle w:val="NormalWeb"/>
        <w:shd w:val="clear" w:color="auto" w:fill="FFFFFF"/>
        <w:spacing w:before="0" w:beforeAutospacing="0" w:after="0" w:afterAutospacing="0" w:line="390" w:lineRule="atLeast"/>
        <w:jc w:val="both"/>
        <w:rPr>
          <w:rFonts w:ascii="仿宋" w:eastAsia="仿宋" w:hAnsi="仿宋" w:cs="Times New Roman"/>
          <w:color w:val="333333"/>
          <w:sz w:val="32"/>
          <w:szCs w:val="32"/>
        </w:rPr>
      </w:pPr>
      <w:r>
        <w:rPr>
          <w:rFonts w:ascii="仿宋" w:eastAsia="仿宋" w:hAnsi="仿宋" w:cs="仿宋" w:hint="eastAsia"/>
          <w:color w:val="333333"/>
          <w:sz w:val="32"/>
          <w:szCs w:val="32"/>
        </w:rPr>
        <w:t> </w:t>
      </w:r>
    </w:p>
    <w:p w:rsidR="00992402" w:rsidRDefault="00992402">
      <w:pPr>
        <w:pStyle w:val="NormalWeb"/>
        <w:shd w:val="clear" w:color="auto" w:fill="FFFFFF"/>
        <w:spacing w:before="0" w:beforeAutospacing="0" w:after="0" w:afterAutospacing="0" w:line="390" w:lineRule="atLeast"/>
        <w:ind w:right="640"/>
        <w:jc w:val="center"/>
        <w:rPr>
          <w:rFonts w:ascii="仿宋" w:eastAsia="仿宋" w:hAnsi="仿宋" w:cs="Times New Roman"/>
          <w:color w:val="333333"/>
          <w:sz w:val="32"/>
          <w:szCs w:val="32"/>
        </w:rPr>
      </w:pPr>
      <w:r>
        <w:rPr>
          <w:rFonts w:ascii="仿宋" w:eastAsia="仿宋" w:hAnsi="仿宋" w:cs="仿宋"/>
          <w:color w:val="333333"/>
          <w:sz w:val="32"/>
          <w:szCs w:val="32"/>
        </w:rPr>
        <w:t xml:space="preserve">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10</w:t>
      </w:r>
      <w:r>
        <w:rPr>
          <w:rFonts w:ascii="仿宋" w:eastAsia="仿宋" w:hAnsi="仿宋" w:cs="仿宋" w:hint="eastAsia"/>
          <w:color w:val="333333"/>
          <w:sz w:val="32"/>
          <w:szCs w:val="32"/>
        </w:rPr>
        <w:t>月</w:t>
      </w:r>
      <w:r>
        <w:rPr>
          <w:rFonts w:ascii="仿宋" w:eastAsia="仿宋" w:hAnsi="仿宋" w:cs="仿宋"/>
          <w:color w:val="333333"/>
          <w:sz w:val="32"/>
          <w:szCs w:val="32"/>
        </w:rPr>
        <w:t>23</w:t>
      </w:r>
      <w:r>
        <w:rPr>
          <w:rFonts w:ascii="仿宋" w:eastAsia="仿宋" w:hAnsi="仿宋" w:cs="仿宋" w:hint="eastAsia"/>
          <w:color w:val="333333"/>
          <w:sz w:val="32"/>
          <w:szCs w:val="32"/>
        </w:rPr>
        <w:t>日</w:t>
      </w:r>
    </w:p>
    <w:p w:rsidR="00992402" w:rsidRDefault="00992402">
      <w:pPr>
        <w:rPr>
          <w:rFonts w:ascii="仿宋" w:eastAsia="仿宋" w:hAnsi="仿宋" w:cs="Times New Roman"/>
          <w:sz w:val="32"/>
          <w:szCs w:val="32"/>
        </w:rPr>
      </w:pPr>
    </w:p>
    <w:sectPr w:rsidR="00992402" w:rsidSect="005054E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402" w:rsidRDefault="00992402" w:rsidP="005054E9">
      <w:pPr>
        <w:rPr>
          <w:rFonts w:cs="Times New Roman"/>
        </w:rPr>
      </w:pPr>
      <w:r>
        <w:rPr>
          <w:rFonts w:cs="Times New Roman"/>
        </w:rPr>
        <w:separator/>
      </w:r>
    </w:p>
  </w:endnote>
  <w:endnote w:type="continuationSeparator" w:id="0">
    <w:p w:rsidR="00992402" w:rsidRDefault="00992402" w:rsidP="005054E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02" w:rsidRDefault="00992402">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92402" w:rsidRDefault="00992402">
                <w:pPr>
                  <w:pStyle w:val="Footer"/>
                  <w:rPr>
                    <w:rFonts w:cs="Times New Roman"/>
                  </w:rP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402" w:rsidRDefault="00992402" w:rsidP="005054E9">
      <w:pPr>
        <w:rPr>
          <w:rFonts w:cs="Times New Roman"/>
        </w:rPr>
      </w:pPr>
      <w:r>
        <w:rPr>
          <w:rFonts w:cs="Times New Roman"/>
        </w:rPr>
        <w:separator/>
      </w:r>
    </w:p>
  </w:footnote>
  <w:footnote w:type="continuationSeparator" w:id="0">
    <w:p w:rsidR="00992402" w:rsidRDefault="00992402" w:rsidP="005054E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AB3F87"/>
    <w:rsid w:val="005054E9"/>
    <w:rsid w:val="00554F9A"/>
    <w:rsid w:val="00992402"/>
    <w:rsid w:val="00A2264D"/>
    <w:rsid w:val="00EF3A3C"/>
    <w:rsid w:val="0661672C"/>
    <w:rsid w:val="101D6689"/>
    <w:rsid w:val="12007074"/>
    <w:rsid w:val="13B70735"/>
    <w:rsid w:val="15BD24FB"/>
    <w:rsid w:val="25C64841"/>
    <w:rsid w:val="2B9629E7"/>
    <w:rsid w:val="33DB30A1"/>
    <w:rsid w:val="38871C85"/>
    <w:rsid w:val="393E3705"/>
    <w:rsid w:val="39AB3F87"/>
    <w:rsid w:val="4EC132A4"/>
    <w:rsid w:val="5049342D"/>
    <w:rsid w:val="5F6E1F1B"/>
    <w:rsid w:val="66FB715B"/>
    <w:rsid w:val="67512EAA"/>
    <w:rsid w:val="6CD80C70"/>
    <w:rsid w:val="72672925"/>
    <w:rsid w:val="7F653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E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54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1084F"/>
    <w:rPr>
      <w:rFonts w:ascii="Calibri" w:hAnsi="Calibri" w:cs="Calibri"/>
      <w:sz w:val="18"/>
      <w:szCs w:val="18"/>
    </w:rPr>
  </w:style>
  <w:style w:type="paragraph" w:styleId="Header">
    <w:name w:val="header"/>
    <w:basedOn w:val="Normal"/>
    <w:link w:val="HeaderChar"/>
    <w:uiPriority w:val="99"/>
    <w:rsid w:val="005054E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11084F"/>
    <w:rPr>
      <w:rFonts w:ascii="Calibri" w:hAnsi="Calibri" w:cs="Calibri"/>
      <w:sz w:val="18"/>
      <w:szCs w:val="18"/>
    </w:rPr>
  </w:style>
  <w:style w:type="paragraph" w:styleId="NormalWeb">
    <w:name w:val="Normal (Web)"/>
    <w:basedOn w:val="Normal"/>
    <w:uiPriority w:val="99"/>
    <w:semiHidden/>
    <w:rsid w:val="005054E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105</Words>
  <Characters>601</Characters>
  <Application>Microsoft Office Outlook</Application>
  <DocSecurity>0</DocSecurity>
  <Lines>0</Lines>
  <Paragraphs>0</Paragraphs>
  <ScaleCrop>false</ScaleCrop>
  <Company>hsxxbh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xxbh</cp:lastModifiedBy>
  <cp:revision>2</cp:revision>
  <cp:lastPrinted>2019-10-22T23:58:00Z</cp:lastPrinted>
  <dcterms:created xsi:type="dcterms:W3CDTF">2019-10-16T00:39:00Z</dcterms:created>
  <dcterms:modified xsi:type="dcterms:W3CDTF">2019-10-22T23:59:00Z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