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7C" w:rsidRPr="00D861C8" w:rsidRDefault="00F9767C" w:rsidP="00F9767C">
      <w:pPr>
        <w:jc w:val="center"/>
        <w:rPr>
          <w:rFonts w:asciiTheme="majorEastAsia" w:eastAsiaTheme="majorEastAsia" w:hAnsiTheme="majorEastAsia"/>
          <w:b/>
          <w:sz w:val="44"/>
          <w:szCs w:val="44"/>
        </w:rPr>
      </w:pPr>
      <w:r w:rsidRPr="00D861C8">
        <w:rPr>
          <w:rFonts w:asciiTheme="majorEastAsia" w:eastAsiaTheme="majorEastAsia" w:hAnsiTheme="majorEastAsia" w:hint="eastAsia"/>
          <w:b/>
          <w:sz w:val="44"/>
          <w:szCs w:val="44"/>
        </w:rPr>
        <w:t>新乡市市场监督管理</w:t>
      </w:r>
      <w:r w:rsidR="00DC441B">
        <w:rPr>
          <w:rFonts w:asciiTheme="majorEastAsia" w:eastAsiaTheme="majorEastAsia" w:hAnsiTheme="majorEastAsia" w:hint="eastAsia"/>
          <w:b/>
          <w:sz w:val="44"/>
          <w:szCs w:val="44"/>
        </w:rPr>
        <w:t>局</w:t>
      </w:r>
    </w:p>
    <w:p w:rsidR="00F9767C" w:rsidRPr="00D861C8" w:rsidRDefault="00F9767C" w:rsidP="00F9767C">
      <w:pPr>
        <w:jc w:val="center"/>
        <w:rPr>
          <w:rFonts w:asciiTheme="majorEastAsia" w:eastAsiaTheme="majorEastAsia" w:hAnsiTheme="majorEastAsia"/>
          <w:b/>
          <w:sz w:val="44"/>
          <w:szCs w:val="44"/>
        </w:rPr>
      </w:pPr>
      <w:r w:rsidRPr="00D861C8">
        <w:rPr>
          <w:rFonts w:asciiTheme="majorEastAsia" w:eastAsiaTheme="majorEastAsia" w:hAnsiTheme="majorEastAsia" w:hint="eastAsia"/>
          <w:b/>
          <w:sz w:val="44"/>
          <w:szCs w:val="44"/>
        </w:rPr>
        <w:t>“双随机、一公开”监管实施细则（试行）</w:t>
      </w:r>
    </w:p>
    <w:p w:rsidR="00F9767C" w:rsidRPr="00D861C8" w:rsidRDefault="00A011F4" w:rsidP="00F9767C">
      <w:pPr>
        <w:jc w:val="center"/>
        <w:rPr>
          <w:rFonts w:ascii="仿宋" w:eastAsia="仿宋" w:hAnsi="仿宋"/>
          <w:b/>
          <w:sz w:val="32"/>
          <w:szCs w:val="32"/>
        </w:rPr>
      </w:pPr>
      <w:r w:rsidRPr="00D861C8">
        <w:rPr>
          <w:rFonts w:ascii="仿宋" w:eastAsia="仿宋" w:hAnsi="仿宋" w:hint="eastAsia"/>
          <w:b/>
          <w:sz w:val="32"/>
          <w:szCs w:val="32"/>
        </w:rPr>
        <w:t>（征求意见稿）</w:t>
      </w:r>
    </w:p>
    <w:p w:rsidR="00F9767C" w:rsidRPr="0033141C" w:rsidRDefault="00F9767C" w:rsidP="0033141C">
      <w:pPr>
        <w:pStyle w:val="2"/>
        <w:jc w:val="center"/>
      </w:pPr>
      <w:r w:rsidRPr="0033141C">
        <w:rPr>
          <w:rFonts w:hint="eastAsia"/>
        </w:rPr>
        <w:t>第一章</w:t>
      </w:r>
      <w:r w:rsidRPr="0033141C">
        <w:rPr>
          <w:rFonts w:hint="eastAsia"/>
        </w:rPr>
        <w:t xml:space="preserve">  </w:t>
      </w:r>
      <w:r w:rsidRPr="0033141C">
        <w:rPr>
          <w:rFonts w:hint="eastAsia"/>
        </w:rPr>
        <w:t>总</w:t>
      </w:r>
      <w:r w:rsidRPr="0033141C">
        <w:rPr>
          <w:rFonts w:hint="eastAsia"/>
        </w:rPr>
        <w:t xml:space="preserve"> </w:t>
      </w:r>
      <w:r w:rsidRPr="0033141C">
        <w:rPr>
          <w:rFonts w:hint="eastAsia"/>
        </w:rPr>
        <w:t>则</w:t>
      </w:r>
    </w:p>
    <w:p w:rsidR="00F9767C" w:rsidRPr="00D861C8" w:rsidRDefault="00F9767C" w:rsidP="00EF3209">
      <w:pPr>
        <w:ind w:firstLineChars="200" w:firstLine="640"/>
        <w:rPr>
          <w:rFonts w:ascii="仿宋" w:eastAsia="仿宋" w:hAnsi="仿宋"/>
          <w:sz w:val="32"/>
          <w:szCs w:val="32"/>
        </w:rPr>
      </w:pPr>
      <w:r w:rsidRPr="00D861C8">
        <w:rPr>
          <w:rFonts w:ascii="仿宋" w:eastAsia="仿宋" w:hAnsi="仿宋" w:hint="eastAsia"/>
          <w:sz w:val="32"/>
          <w:szCs w:val="32"/>
        </w:rPr>
        <w:t>第一条  为规范“双随机、一公开”监管，提升监管效能，保障执法公平、公正、公开，维护公平竞争，优化营商环境，根据《企业信息公示暂行条例》（国务院令第</w:t>
      </w:r>
      <w:r w:rsidRPr="00D861C8">
        <w:rPr>
          <w:rFonts w:ascii="仿宋" w:eastAsia="仿宋" w:hAnsi="仿宋"/>
          <w:sz w:val="32"/>
          <w:szCs w:val="32"/>
        </w:rPr>
        <w:t xml:space="preserve">654 </w:t>
      </w:r>
      <w:r w:rsidRPr="00D861C8">
        <w:rPr>
          <w:rFonts w:ascii="仿宋" w:eastAsia="仿宋" w:hAnsi="仿宋" w:hint="eastAsia"/>
          <w:sz w:val="32"/>
          <w:szCs w:val="32"/>
        </w:rPr>
        <w:t>号）、《</w:t>
      </w:r>
      <w:r w:rsidR="00360848" w:rsidRPr="00360848">
        <w:rPr>
          <w:rFonts w:ascii="仿宋" w:eastAsia="仿宋" w:hAnsi="仿宋" w:hint="eastAsia"/>
          <w:bCs/>
          <w:color w:val="333333"/>
          <w:sz w:val="32"/>
          <w:szCs w:val="32"/>
        </w:rPr>
        <w:t>国务院关于加强和规范事中事后监管的指导意见</w:t>
      </w:r>
      <w:r w:rsidRPr="00D861C8">
        <w:rPr>
          <w:rFonts w:ascii="仿宋" w:eastAsia="仿宋" w:hAnsi="仿宋" w:hint="eastAsia"/>
          <w:sz w:val="32"/>
          <w:szCs w:val="32"/>
        </w:rPr>
        <w:t>》（</w:t>
      </w:r>
      <w:r w:rsidR="00360848">
        <w:rPr>
          <w:rFonts w:ascii="楷体" w:eastAsia="楷体" w:hAnsi="楷体" w:hint="eastAsia"/>
          <w:color w:val="333333"/>
          <w:sz w:val="35"/>
          <w:szCs w:val="35"/>
          <w:shd w:val="clear" w:color="auto" w:fill="FFFFFF"/>
        </w:rPr>
        <w:t>国发</w:t>
      </w:r>
      <w:r w:rsidR="00360848" w:rsidRPr="00C96985">
        <w:rPr>
          <w:rFonts w:ascii="仿宋" w:eastAsia="仿宋" w:hAnsi="仿宋" w:hint="eastAsia"/>
          <w:color w:val="333333"/>
          <w:sz w:val="32"/>
          <w:szCs w:val="32"/>
          <w:shd w:val="clear" w:color="auto" w:fill="FFFFFF"/>
        </w:rPr>
        <w:t>〔2019〕18号</w:t>
      </w:r>
      <w:r w:rsidRPr="00C96985">
        <w:rPr>
          <w:rFonts w:ascii="仿宋" w:eastAsia="仿宋" w:hAnsi="仿宋" w:hint="eastAsia"/>
          <w:sz w:val="32"/>
          <w:szCs w:val="32"/>
        </w:rPr>
        <w:t>）</w:t>
      </w:r>
      <w:r w:rsidRPr="00D861C8">
        <w:rPr>
          <w:rFonts w:ascii="仿宋" w:eastAsia="仿宋" w:hAnsi="仿宋" w:hint="eastAsia"/>
          <w:sz w:val="32"/>
          <w:szCs w:val="32"/>
        </w:rPr>
        <w:t>、</w:t>
      </w:r>
      <w:r w:rsidR="00360848" w:rsidRPr="00BF410C">
        <w:rPr>
          <w:rFonts w:ascii="仿宋" w:eastAsia="仿宋" w:hAnsi="仿宋" w:hint="eastAsia"/>
          <w:kern w:val="0"/>
          <w:sz w:val="32"/>
          <w:szCs w:val="32"/>
        </w:rPr>
        <w:t>《河南省人民政府办公厅关于印发河南省全面推行“双随机一公开”监管工作实施方案的通知》（</w:t>
      </w:r>
      <w:r w:rsidR="00360848" w:rsidRPr="00BF410C">
        <w:rPr>
          <w:rFonts w:ascii="仿宋" w:eastAsia="仿宋" w:hAnsi="仿宋" w:hint="eastAsia"/>
          <w:bCs/>
          <w:color w:val="000000"/>
          <w:sz w:val="32"/>
          <w:szCs w:val="32"/>
        </w:rPr>
        <w:t>豫政办〔2018〕50号</w:t>
      </w:r>
      <w:r w:rsidR="00360848">
        <w:rPr>
          <w:rFonts w:hint="eastAsia"/>
          <w:kern w:val="0"/>
        </w:rPr>
        <w:t>）、</w:t>
      </w:r>
      <w:r w:rsidR="00360848">
        <w:rPr>
          <w:rFonts w:ascii="仿宋" w:eastAsia="仿宋" w:hAnsi="仿宋" w:hint="eastAsia"/>
          <w:sz w:val="32"/>
          <w:szCs w:val="32"/>
        </w:rPr>
        <w:t>河南省市场监督管理局</w:t>
      </w:r>
      <w:r w:rsidRPr="00D861C8">
        <w:rPr>
          <w:rFonts w:ascii="仿宋" w:eastAsia="仿宋" w:hAnsi="仿宋" w:hint="eastAsia"/>
          <w:sz w:val="32"/>
          <w:szCs w:val="32"/>
        </w:rPr>
        <w:t>《</w:t>
      </w:r>
      <w:r w:rsidR="00360848">
        <w:rPr>
          <w:rFonts w:ascii="仿宋" w:eastAsia="仿宋" w:hAnsi="仿宋" w:hint="eastAsia"/>
          <w:sz w:val="32"/>
          <w:szCs w:val="32"/>
        </w:rPr>
        <w:t>关于全面推进“双随机、一公开”监管工作实施意见</w:t>
      </w:r>
      <w:r w:rsidRPr="00D861C8">
        <w:rPr>
          <w:rFonts w:ascii="仿宋" w:eastAsia="仿宋" w:hAnsi="仿宋" w:hint="eastAsia"/>
          <w:sz w:val="32"/>
          <w:szCs w:val="32"/>
        </w:rPr>
        <w:t>》</w:t>
      </w:r>
      <w:r w:rsidRPr="00D861C8">
        <w:rPr>
          <w:rFonts w:ascii="仿宋" w:eastAsia="仿宋" w:hAnsi="仿宋"/>
          <w:sz w:val="32"/>
          <w:szCs w:val="32"/>
        </w:rPr>
        <w:t>(</w:t>
      </w:r>
      <w:r w:rsidR="00360848">
        <w:rPr>
          <w:rFonts w:ascii="仿宋" w:eastAsia="仿宋" w:hAnsi="仿宋" w:hint="eastAsia"/>
          <w:sz w:val="32"/>
          <w:szCs w:val="32"/>
        </w:rPr>
        <w:t>豫市监</w:t>
      </w:r>
      <w:r w:rsidRPr="00D861C8">
        <w:rPr>
          <w:rFonts w:ascii="仿宋" w:eastAsia="仿宋" w:hAnsi="仿宋" w:hint="eastAsia"/>
          <w:sz w:val="32"/>
          <w:szCs w:val="32"/>
        </w:rPr>
        <w:t>〔</w:t>
      </w:r>
      <w:r w:rsidRPr="00D861C8">
        <w:rPr>
          <w:rFonts w:ascii="仿宋" w:eastAsia="仿宋" w:hAnsi="仿宋"/>
          <w:sz w:val="32"/>
          <w:szCs w:val="32"/>
        </w:rPr>
        <w:t>201</w:t>
      </w:r>
      <w:r w:rsidR="00360848">
        <w:rPr>
          <w:rFonts w:ascii="仿宋" w:eastAsia="仿宋" w:hAnsi="仿宋" w:hint="eastAsia"/>
          <w:sz w:val="32"/>
          <w:szCs w:val="32"/>
        </w:rPr>
        <w:t>9</w:t>
      </w:r>
      <w:r w:rsidRPr="00D861C8">
        <w:rPr>
          <w:rFonts w:ascii="仿宋" w:eastAsia="仿宋" w:hAnsi="仿宋" w:hint="eastAsia"/>
          <w:sz w:val="32"/>
          <w:szCs w:val="32"/>
        </w:rPr>
        <w:t>〕</w:t>
      </w:r>
      <w:r w:rsidR="00360848">
        <w:rPr>
          <w:rFonts w:ascii="仿宋" w:eastAsia="仿宋" w:hAnsi="仿宋" w:hint="eastAsia"/>
          <w:sz w:val="32"/>
          <w:szCs w:val="32"/>
        </w:rPr>
        <w:t>254</w:t>
      </w:r>
      <w:r w:rsidRPr="00D861C8">
        <w:rPr>
          <w:rFonts w:ascii="仿宋" w:eastAsia="仿宋" w:hAnsi="仿宋" w:hint="eastAsia"/>
          <w:sz w:val="32"/>
          <w:szCs w:val="32"/>
        </w:rPr>
        <w:t>号</w:t>
      </w:r>
      <w:r w:rsidRPr="00D861C8">
        <w:rPr>
          <w:rFonts w:ascii="仿宋" w:eastAsia="仿宋" w:hAnsi="仿宋"/>
          <w:sz w:val="32"/>
          <w:szCs w:val="32"/>
        </w:rPr>
        <w:t>)</w:t>
      </w:r>
      <w:r w:rsidR="00360848">
        <w:rPr>
          <w:rFonts w:ascii="仿宋" w:eastAsia="仿宋" w:hAnsi="仿宋" w:hint="eastAsia"/>
          <w:sz w:val="32"/>
          <w:szCs w:val="32"/>
        </w:rPr>
        <w:t>等</w:t>
      </w:r>
      <w:r w:rsidRPr="00D861C8">
        <w:rPr>
          <w:rFonts w:ascii="仿宋" w:eastAsia="仿宋" w:hAnsi="仿宋" w:hint="eastAsia"/>
          <w:sz w:val="32"/>
          <w:szCs w:val="32"/>
        </w:rPr>
        <w:t>有关规定，</w:t>
      </w:r>
      <w:r w:rsidR="00360848">
        <w:rPr>
          <w:rFonts w:ascii="仿宋" w:eastAsia="仿宋" w:hAnsi="仿宋" w:hint="eastAsia"/>
          <w:sz w:val="32"/>
          <w:szCs w:val="32"/>
        </w:rPr>
        <w:t>结合我局系统实际，</w:t>
      </w:r>
      <w:r w:rsidRPr="00D861C8">
        <w:rPr>
          <w:rFonts w:ascii="仿宋" w:eastAsia="仿宋" w:hAnsi="仿宋" w:hint="eastAsia"/>
          <w:sz w:val="32"/>
          <w:szCs w:val="32"/>
        </w:rPr>
        <w:t>制定本细则。</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第二条  全市各级市场监督管理部门采用“双随机、一公开”方式实施市场监管，应当遵守本细则。</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第三条  本细则所称“双随机、一公开”，是指市场监督管理部门在监管过程中随机抽取检查对象，随机选派执法检查人员，抽查情况及检查结果、查处结果及时向社会公开的监管机制。</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第四条  “双随机、一公开”监管应当遵循全面覆盖、依法实施、综合检查、规范透明的原则。</w:t>
      </w:r>
    </w:p>
    <w:p w:rsidR="00F9767C" w:rsidRPr="00D861C8" w:rsidRDefault="00F9767C" w:rsidP="00794073">
      <w:pPr>
        <w:ind w:firstLineChars="200" w:firstLine="640"/>
        <w:rPr>
          <w:rFonts w:ascii="仿宋" w:eastAsia="仿宋" w:hAnsi="仿宋"/>
          <w:sz w:val="32"/>
          <w:szCs w:val="32"/>
        </w:rPr>
      </w:pPr>
      <w:r w:rsidRPr="00D861C8">
        <w:rPr>
          <w:rFonts w:ascii="仿宋" w:eastAsia="仿宋" w:hAnsi="仿宋" w:hint="eastAsia"/>
          <w:sz w:val="32"/>
          <w:szCs w:val="32"/>
        </w:rPr>
        <w:t>全面覆盖是指</w:t>
      </w:r>
      <w:r w:rsidR="00794073" w:rsidRPr="001438E6">
        <w:rPr>
          <w:rFonts w:ascii="仿宋" w:eastAsia="仿宋" w:hAnsi="仿宋"/>
          <w:kern w:val="0"/>
          <w:sz w:val="32"/>
          <w:szCs w:val="32"/>
        </w:rPr>
        <w:t>除直</w:t>
      </w:r>
      <w:r w:rsidR="00794073">
        <w:rPr>
          <w:rFonts w:ascii="仿宋" w:eastAsia="仿宋" w:hAnsi="仿宋"/>
          <w:kern w:val="0"/>
          <w:sz w:val="32"/>
          <w:szCs w:val="32"/>
        </w:rPr>
        <w:t>接涉及公共安全和人民群众生命健</w:t>
      </w:r>
      <w:r w:rsidR="00794073">
        <w:rPr>
          <w:rFonts w:ascii="仿宋" w:eastAsia="仿宋" w:hAnsi="仿宋"/>
          <w:kern w:val="0"/>
          <w:sz w:val="32"/>
          <w:szCs w:val="32"/>
        </w:rPr>
        <w:lastRenderedPageBreak/>
        <w:t>康等特殊行业、重点领域外，</w:t>
      </w:r>
      <w:r w:rsidR="00794073">
        <w:rPr>
          <w:rFonts w:ascii="仿宋" w:eastAsia="仿宋" w:hAnsi="仿宋" w:hint="eastAsia"/>
          <w:kern w:val="0"/>
          <w:sz w:val="32"/>
          <w:szCs w:val="32"/>
        </w:rPr>
        <w:t>市场监督管理部门</w:t>
      </w:r>
      <w:r w:rsidR="00794073" w:rsidRPr="001438E6">
        <w:rPr>
          <w:rFonts w:ascii="仿宋" w:eastAsia="仿宋" w:hAnsi="仿宋"/>
          <w:kern w:val="0"/>
          <w:sz w:val="32"/>
          <w:szCs w:val="32"/>
        </w:rPr>
        <w:t>的</w:t>
      </w:r>
      <w:r w:rsidR="00794073">
        <w:rPr>
          <w:rFonts w:ascii="仿宋" w:eastAsia="仿宋" w:hAnsi="仿宋" w:hint="eastAsia"/>
          <w:kern w:val="0"/>
          <w:sz w:val="32"/>
          <w:szCs w:val="32"/>
        </w:rPr>
        <w:t>所有</w:t>
      </w:r>
      <w:r w:rsidR="00794073" w:rsidRPr="001438E6">
        <w:rPr>
          <w:rFonts w:ascii="仿宋" w:eastAsia="仿宋" w:hAnsi="仿宋"/>
          <w:kern w:val="0"/>
          <w:sz w:val="32"/>
          <w:szCs w:val="32"/>
        </w:rPr>
        <w:t>行政检查应当</w:t>
      </w:r>
      <w:r w:rsidR="00794073">
        <w:rPr>
          <w:rFonts w:ascii="仿宋" w:eastAsia="仿宋" w:hAnsi="仿宋" w:hint="eastAsia"/>
          <w:sz w:val="32"/>
          <w:szCs w:val="32"/>
        </w:rPr>
        <w:t>通过“双随机、一公开”监管方式</w:t>
      </w:r>
      <w:r w:rsidRPr="00D861C8">
        <w:rPr>
          <w:rFonts w:ascii="仿宋" w:eastAsia="仿宋" w:hAnsi="仿宋" w:hint="eastAsia"/>
          <w:sz w:val="32"/>
          <w:szCs w:val="32"/>
        </w:rPr>
        <w:t>进行。</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依法实施是指所有的随机抽查事项应当于法有据，严格按照随机抽查事项清单组织实施，不得在清单外设立或实施抽查、检查事项。</w:t>
      </w:r>
    </w:p>
    <w:p w:rsidR="00F9767C" w:rsidRPr="00D861C8" w:rsidRDefault="00F9767C" w:rsidP="006478AF">
      <w:pPr>
        <w:ind w:firstLineChars="200" w:firstLine="640"/>
        <w:rPr>
          <w:rFonts w:ascii="仿宋" w:eastAsia="仿宋" w:hAnsi="仿宋"/>
          <w:sz w:val="32"/>
          <w:szCs w:val="32"/>
        </w:rPr>
      </w:pPr>
      <w:r w:rsidRPr="00D861C8">
        <w:rPr>
          <w:rFonts w:ascii="仿宋" w:eastAsia="仿宋" w:hAnsi="仿宋" w:hint="eastAsia"/>
          <w:sz w:val="32"/>
          <w:szCs w:val="32"/>
        </w:rPr>
        <w:t>综合检查是指</w:t>
      </w:r>
      <w:r w:rsidR="006478AF" w:rsidRPr="001438E6">
        <w:rPr>
          <w:rFonts w:ascii="仿宋" w:eastAsia="仿宋" w:hAnsi="仿宋"/>
          <w:kern w:val="0"/>
          <w:sz w:val="32"/>
          <w:szCs w:val="32"/>
        </w:rPr>
        <w:t>针对同一检查对象的多个检查事项，</w:t>
      </w:r>
      <w:r w:rsidR="006478AF">
        <w:rPr>
          <w:rFonts w:ascii="仿宋" w:eastAsia="仿宋" w:hAnsi="仿宋" w:hint="eastAsia"/>
          <w:kern w:val="0"/>
          <w:sz w:val="32"/>
          <w:szCs w:val="32"/>
        </w:rPr>
        <w:t>各级</w:t>
      </w:r>
      <w:r w:rsidRPr="00D861C8">
        <w:rPr>
          <w:rFonts w:ascii="仿宋" w:eastAsia="仿宋" w:hAnsi="仿宋" w:hint="eastAsia"/>
          <w:sz w:val="32"/>
          <w:szCs w:val="32"/>
        </w:rPr>
        <w:t>市场监督管理部门</w:t>
      </w:r>
      <w:r w:rsidR="0001781A">
        <w:rPr>
          <w:rFonts w:ascii="仿宋" w:eastAsia="仿宋" w:hAnsi="仿宋" w:hint="eastAsia"/>
          <w:sz w:val="32"/>
          <w:szCs w:val="32"/>
        </w:rPr>
        <w:t>要</w:t>
      </w:r>
      <w:r w:rsidRPr="00D861C8">
        <w:rPr>
          <w:rFonts w:ascii="仿宋" w:eastAsia="仿宋" w:hAnsi="仿宋" w:hint="eastAsia"/>
          <w:sz w:val="32"/>
          <w:szCs w:val="32"/>
        </w:rPr>
        <w:t>统筹安排本部门的检查事项，并制定实施计划或实施方案，组成综合执法检查组，对检查事项实施综合检查。</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规范透明是指依法依规落实市场监管责任，形成科学规范、公平公正、公开透明的工作机制。除法律法规明确规定外，抽查事项、抽查计划、抽查结果应当及时、准确、规范向社会公开。</w:t>
      </w:r>
    </w:p>
    <w:p w:rsidR="00334D51" w:rsidRDefault="00F9767C" w:rsidP="00334D51">
      <w:pPr>
        <w:ind w:firstLineChars="200" w:firstLine="640"/>
        <w:rPr>
          <w:rFonts w:ascii="仿宋" w:eastAsia="仿宋" w:hAnsi="仿宋"/>
          <w:kern w:val="0"/>
          <w:sz w:val="32"/>
          <w:szCs w:val="32"/>
        </w:rPr>
      </w:pPr>
      <w:r w:rsidRPr="00D861C8">
        <w:rPr>
          <w:rFonts w:ascii="仿宋" w:eastAsia="仿宋" w:hAnsi="仿宋" w:hint="eastAsia"/>
          <w:sz w:val="32"/>
          <w:szCs w:val="32"/>
        </w:rPr>
        <w:t xml:space="preserve">第五条 </w:t>
      </w:r>
      <w:r w:rsidR="00334D51">
        <w:rPr>
          <w:rFonts w:ascii="仿宋" w:eastAsia="仿宋" w:hAnsi="仿宋" w:hint="eastAsia"/>
          <w:sz w:val="32"/>
          <w:szCs w:val="32"/>
        </w:rPr>
        <w:t>对</w:t>
      </w:r>
      <w:r w:rsidRPr="00D861C8">
        <w:rPr>
          <w:rFonts w:ascii="仿宋" w:eastAsia="仿宋" w:hAnsi="仿宋" w:hint="eastAsia"/>
          <w:sz w:val="32"/>
          <w:szCs w:val="32"/>
        </w:rPr>
        <w:t>食品药品、产品质量安全和特种设备安全等</w:t>
      </w:r>
      <w:r w:rsidR="00334D51" w:rsidRPr="001438E6">
        <w:rPr>
          <w:rFonts w:ascii="仿宋" w:eastAsia="仿宋" w:hAnsi="仿宋"/>
          <w:kern w:val="0"/>
          <w:sz w:val="32"/>
          <w:szCs w:val="32"/>
        </w:rPr>
        <w:t>直接涉及公共安全和人民群众生命健康等特殊行业、重点领域，</w:t>
      </w:r>
      <w:r w:rsidR="00334D51">
        <w:rPr>
          <w:rFonts w:ascii="仿宋" w:eastAsia="仿宋" w:hAnsi="仿宋"/>
          <w:kern w:val="0"/>
          <w:sz w:val="32"/>
          <w:szCs w:val="32"/>
        </w:rPr>
        <w:t>依法依规实行全覆盖的重点监管，并严格规范重点监管的程序</w:t>
      </w:r>
      <w:r w:rsidR="00334D51">
        <w:rPr>
          <w:rFonts w:ascii="仿宋" w:eastAsia="仿宋" w:hAnsi="仿宋" w:hint="eastAsia"/>
          <w:kern w:val="0"/>
          <w:sz w:val="32"/>
          <w:szCs w:val="32"/>
        </w:rPr>
        <w:t>。</w:t>
      </w:r>
    </w:p>
    <w:p w:rsidR="00F9767C" w:rsidRPr="00D861C8" w:rsidRDefault="00FB4B95" w:rsidP="00684371">
      <w:pPr>
        <w:ind w:firstLineChars="200" w:firstLine="640"/>
        <w:rPr>
          <w:rFonts w:ascii="仿宋" w:eastAsia="仿宋" w:hAnsi="仿宋"/>
          <w:sz w:val="32"/>
          <w:szCs w:val="32"/>
        </w:rPr>
      </w:pPr>
      <w:r w:rsidRPr="001438E6">
        <w:rPr>
          <w:rFonts w:ascii="仿宋" w:eastAsia="仿宋" w:hAnsi="仿宋"/>
          <w:kern w:val="0"/>
          <w:sz w:val="32"/>
          <w:szCs w:val="32"/>
        </w:rPr>
        <w:t>对通过投诉举报、转办交办、数据监测等发现的问题，应当有针对性地进行检查并依法依规处理。</w:t>
      </w:r>
      <w:r w:rsidR="00684371" w:rsidRPr="00823F05">
        <w:rPr>
          <w:rFonts w:ascii="仿宋" w:eastAsia="仿宋" w:hAnsi="仿宋"/>
          <w:sz w:val="32"/>
          <w:szCs w:val="32"/>
          <w:shd w:val="clear" w:color="auto" w:fill="FFFFFF"/>
        </w:rPr>
        <w:t>对通过上述渠道发现的普遍性问题和存在的突出风险，</w:t>
      </w:r>
      <w:r w:rsidR="00684371">
        <w:rPr>
          <w:rFonts w:ascii="仿宋" w:eastAsia="仿宋" w:hAnsi="仿宋" w:hint="eastAsia"/>
          <w:sz w:val="32"/>
          <w:szCs w:val="32"/>
          <w:shd w:val="clear" w:color="auto" w:fill="FFFFFF"/>
        </w:rPr>
        <w:t>应当</w:t>
      </w:r>
      <w:r w:rsidR="00684371" w:rsidRPr="00823F05">
        <w:rPr>
          <w:rFonts w:ascii="仿宋" w:eastAsia="仿宋" w:hAnsi="仿宋"/>
          <w:sz w:val="32"/>
          <w:szCs w:val="32"/>
          <w:shd w:val="clear" w:color="auto" w:fill="FFFFFF"/>
        </w:rPr>
        <w:t>通过双随机抽查等方式，对所涉抽查事项开展有针对性的专项检查</w:t>
      </w:r>
      <w:r w:rsidR="007300D5">
        <w:rPr>
          <w:rFonts w:ascii="仿宋" w:eastAsia="仿宋" w:hAnsi="仿宋" w:hint="eastAsia"/>
          <w:sz w:val="32"/>
          <w:szCs w:val="32"/>
          <w:shd w:val="clear" w:color="auto" w:fill="FFFFFF"/>
        </w:rPr>
        <w:t>，并</w:t>
      </w:r>
      <w:r w:rsidR="00F9767C" w:rsidRPr="00D861C8">
        <w:rPr>
          <w:rFonts w:ascii="仿宋" w:eastAsia="仿宋" w:hAnsi="仿宋" w:hint="eastAsia"/>
          <w:sz w:val="32"/>
          <w:szCs w:val="32"/>
        </w:rPr>
        <w:t>根据实际情况确定抽查比例。</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第六条  新乡市市场</w:t>
      </w:r>
      <w:r w:rsidR="00794073">
        <w:rPr>
          <w:rFonts w:ascii="仿宋" w:eastAsia="仿宋" w:hAnsi="仿宋" w:hint="eastAsia"/>
          <w:sz w:val="32"/>
          <w:szCs w:val="32"/>
        </w:rPr>
        <w:t>监督管理</w:t>
      </w:r>
      <w:r w:rsidRPr="00D861C8">
        <w:rPr>
          <w:rFonts w:ascii="仿宋" w:eastAsia="仿宋" w:hAnsi="仿宋" w:hint="eastAsia"/>
          <w:sz w:val="32"/>
          <w:szCs w:val="32"/>
        </w:rPr>
        <w:t>局负责组织、指导、督查、</w:t>
      </w:r>
      <w:r w:rsidRPr="00D861C8">
        <w:rPr>
          <w:rFonts w:ascii="仿宋" w:eastAsia="仿宋" w:hAnsi="仿宋" w:hint="eastAsia"/>
          <w:sz w:val="32"/>
          <w:szCs w:val="32"/>
        </w:rPr>
        <w:lastRenderedPageBreak/>
        <w:t>考核全市市场监督管理系统“双随机、一公开”监管工作；负责制定随机抽查事项检查工作实施细则。</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第七条  县级以上市场监督管理部门应当依据法律法规规章规定，编制本级随机抽查事项清单，明确抽查项目、事项类型、检查对象、检查方式、检查主体、检查依据等，报上一级市场监督管理部门备案，并通过国家企业信用信息公示系统向社会公开。</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随机抽查事项分为重点检查事项和一般检查事项。重点检查事项针对涉及安全、质量、公共利益等领域。一般检查事项针对一般监管领域。</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市场监督管理部门应当根据法律法规规章立改废释和工作实际情况对随机抽查事项清单进行动态调整，并及时向社会公开。</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市场监督管理部门对被抽取对象的检查事项应当严格按照本级随机抽查事项清单实施。</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第八条  县级以上市场监督管理部门应当在国家企业信用信息公示系统建立检查对象名录库和执法检查人员名录库，并进行动态管理。</w:t>
      </w:r>
    </w:p>
    <w:p w:rsidR="00F9767C" w:rsidRPr="00D861C8" w:rsidRDefault="00F83975" w:rsidP="00F9767C">
      <w:pPr>
        <w:spacing w:line="560" w:lineRule="exact"/>
        <w:ind w:firstLineChars="200" w:firstLine="640"/>
        <w:rPr>
          <w:rFonts w:ascii="仿宋" w:eastAsia="仿宋" w:hAnsi="仿宋"/>
          <w:sz w:val="32"/>
          <w:szCs w:val="32"/>
        </w:rPr>
      </w:pPr>
      <w:r w:rsidRPr="00684C85">
        <w:rPr>
          <w:rFonts w:ascii="仿宋" w:eastAsia="仿宋" w:hAnsi="仿宋" w:hint="eastAsia"/>
          <w:color w:val="333333"/>
          <w:sz w:val="32"/>
          <w:szCs w:val="32"/>
        </w:rPr>
        <w:t>检查对象名录库既可以包括企业、个体工商户等市场主体，也可以包括产品、项目、行为等</w:t>
      </w:r>
      <w:r>
        <w:rPr>
          <w:rFonts w:ascii="仿宋" w:eastAsia="仿宋" w:hAnsi="仿宋" w:hint="eastAsia"/>
          <w:color w:val="333333"/>
          <w:sz w:val="32"/>
          <w:szCs w:val="32"/>
        </w:rPr>
        <w:t>。</w:t>
      </w:r>
    </w:p>
    <w:p w:rsidR="0022106E" w:rsidRDefault="00F9767C" w:rsidP="0022106E">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执法检查人员名录库应当包括市场监管管理部门所有行政执法类公务员、具有行政执法资格的工作人员</w:t>
      </w:r>
      <w:r w:rsidR="00F83975" w:rsidRPr="00684C85">
        <w:rPr>
          <w:rFonts w:ascii="仿宋" w:eastAsia="仿宋" w:hAnsi="仿宋" w:hint="eastAsia"/>
          <w:color w:val="333333"/>
          <w:sz w:val="32"/>
          <w:szCs w:val="32"/>
        </w:rPr>
        <w:t>和从事日常监管工作的人员，并按照执法资质、业务专长进行分类标注，提高抽查检查专业性。</w:t>
      </w:r>
      <w:r w:rsidR="00F83975">
        <w:rPr>
          <w:rFonts w:ascii="仿宋" w:eastAsia="仿宋" w:hAnsi="仿宋" w:hint="eastAsia"/>
          <w:color w:val="333333"/>
          <w:sz w:val="32"/>
          <w:szCs w:val="32"/>
        </w:rPr>
        <w:t>对</w:t>
      </w:r>
      <w:r w:rsidRPr="00D861C8">
        <w:rPr>
          <w:rFonts w:ascii="仿宋" w:eastAsia="仿宋" w:hAnsi="仿宋" w:hint="eastAsia"/>
          <w:sz w:val="32"/>
          <w:szCs w:val="32"/>
        </w:rPr>
        <w:t>特定领域的抽查，可以在满足</w:t>
      </w:r>
      <w:r w:rsidRPr="00D861C8">
        <w:rPr>
          <w:rFonts w:ascii="仿宋" w:eastAsia="仿宋" w:hAnsi="仿宋" w:hint="eastAsia"/>
          <w:sz w:val="32"/>
          <w:szCs w:val="32"/>
        </w:rPr>
        <w:lastRenderedPageBreak/>
        <w:t>执法检查人数要求的基础上，吸收检测机构、科研院所和专家学者等参与。</w:t>
      </w:r>
    </w:p>
    <w:p w:rsidR="00F9767C" w:rsidRPr="00D861C8" w:rsidRDefault="00F9767C" w:rsidP="0022106E">
      <w:pPr>
        <w:pStyle w:val="2"/>
        <w:jc w:val="center"/>
      </w:pPr>
      <w:r w:rsidRPr="00D861C8">
        <w:rPr>
          <w:rFonts w:hint="eastAsia"/>
        </w:rPr>
        <w:t>第二章</w:t>
      </w:r>
      <w:r w:rsidRPr="00D861C8">
        <w:rPr>
          <w:rFonts w:hint="eastAsia"/>
        </w:rPr>
        <w:t xml:space="preserve">  </w:t>
      </w:r>
      <w:r w:rsidRPr="00D861C8">
        <w:rPr>
          <w:rFonts w:hint="eastAsia"/>
        </w:rPr>
        <w:t>抽查流程</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第九条  县级市场监督管理部门应当按照上级市场监督管理部门工作要求和本级抽查事项清单统筹制定年度抽查工作计划，明确抽查任务、抽查类型、抽查事项、抽查对象范围、检查主体、抽查比例和检查日期，并报上一级市场监督管理部门备案。</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市市场监管局根据实际情况合理安排市级统一抽查和各县级自行抽查的分配比例，以及不同地区的抽查比重</w:t>
      </w:r>
      <w:r w:rsidR="00FA6990">
        <w:rPr>
          <w:rFonts w:ascii="仿宋" w:eastAsia="仿宋" w:hAnsi="仿宋" w:hint="eastAsia"/>
          <w:sz w:val="32"/>
          <w:szCs w:val="32"/>
        </w:rPr>
        <w:t>，统筹制定市级年度抽查工作计划，并报送新乡市人民政府和省市场监督管理局备案</w:t>
      </w:r>
      <w:r w:rsidRPr="00D861C8">
        <w:rPr>
          <w:rFonts w:ascii="仿宋" w:eastAsia="仿宋" w:hAnsi="仿宋" w:hint="eastAsia"/>
          <w:sz w:val="32"/>
          <w:szCs w:val="32"/>
        </w:rPr>
        <w:t>。</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年度抽查工作计划以自然年为单位制定，可以根据工作实际进行调整。年度抽查工作计划应当于当年</w:t>
      </w:r>
      <w:r w:rsidR="0038691A">
        <w:rPr>
          <w:rFonts w:ascii="仿宋" w:eastAsia="仿宋" w:hAnsi="仿宋" w:hint="eastAsia"/>
          <w:sz w:val="32"/>
          <w:szCs w:val="32"/>
        </w:rPr>
        <w:t>1</w:t>
      </w:r>
      <w:r w:rsidRPr="00D861C8">
        <w:rPr>
          <w:rFonts w:ascii="仿宋" w:eastAsia="仿宋" w:hAnsi="仿宋" w:hint="eastAsia"/>
          <w:sz w:val="32"/>
          <w:szCs w:val="32"/>
        </w:rPr>
        <w:t>月底前制定完成，并通过国家企业信用信息公示系统向社会公示。</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第十条  抽查分为不定向抽查和定向抽查。</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不定向抽查是指市场监督管理部门按照抽查比例和区域均衡随机抽取确定检查对象名单，按对应抽查事项进行检查。</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定向抽查是指市场监督管理部门按照检查对象、企业类型、经营规模、所属行业、地理区域等特定条件随机抽取确定检查对象名单，按对应抽查事项进行检查。</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第十一条  县级市场监督管理部门应当按照法律法规</w:t>
      </w:r>
      <w:r w:rsidRPr="00D861C8">
        <w:rPr>
          <w:rFonts w:ascii="仿宋" w:eastAsia="仿宋" w:hAnsi="仿宋" w:hint="eastAsia"/>
          <w:sz w:val="32"/>
          <w:szCs w:val="32"/>
        </w:rPr>
        <w:lastRenderedPageBreak/>
        <w:t>规定和监管领域、执法队伍实际情况，针对不同检查对象采取差异化监管，合理确定、动态调整抽查比例和检查对象被抽查概率。</w:t>
      </w:r>
    </w:p>
    <w:p w:rsidR="00B502EA" w:rsidRPr="009D1A15" w:rsidRDefault="00B502EA" w:rsidP="00B502EA">
      <w:pPr>
        <w:ind w:firstLineChars="200" w:firstLine="640"/>
        <w:rPr>
          <w:rFonts w:ascii="仿宋" w:eastAsia="仿宋" w:hAnsi="仿宋"/>
          <w:sz w:val="32"/>
          <w:szCs w:val="32"/>
        </w:rPr>
      </w:pPr>
      <w:r w:rsidRPr="009D1A15">
        <w:rPr>
          <w:rFonts w:ascii="仿宋" w:eastAsia="仿宋" w:hAnsi="仿宋" w:hint="eastAsia"/>
          <w:color w:val="333333"/>
          <w:sz w:val="32"/>
          <w:szCs w:val="32"/>
          <w:shd w:val="clear" w:color="auto" w:fill="FFFFFF"/>
        </w:rPr>
        <w:t>随机抽查事项分为一般检查事项和重点检查事项。重点检查事项针对安全、质量、公共利益等重要领域，抽查比例不设上限；抽查比例高的，可以通过随机抽取的方式确定检查批次顺序。</w:t>
      </w:r>
      <w:r>
        <w:rPr>
          <w:rFonts w:ascii="仿宋" w:eastAsia="仿宋" w:hAnsi="仿宋" w:hint="eastAsia"/>
          <w:color w:val="333333"/>
          <w:sz w:val="32"/>
          <w:szCs w:val="32"/>
          <w:shd w:val="clear" w:color="auto" w:fill="FFFFFF"/>
        </w:rPr>
        <w:t>一般检查事项针对一般监管领域，</w:t>
      </w:r>
      <w:r w:rsidRPr="009D1A15">
        <w:rPr>
          <w:rFonts w:ascii="仿宋" w:eastAsia="仿宋" w:hAnsi="仿宋" w:hint="eastAsia"/>
          <w:color w:val="333333"/>
          <w:sz w:val="32"/>
          <w:szCs w:val="32"/>
          <w:shd w:val="clear" w:color="auto" w:fill="FFFFFF"/>
        </w:rPr>
        <w:t>抽查比例应根据监管实际情况</w:t>
      </w:r>
      <w:r>
        <w:rPr>
          <w:rFonts w:ascii="仿宋" w:eastAsia="仿宋" w:hAnsi="仿宋" w:hint="eastAsia"/>
          <w:color w:val="333333"/>
          <w:sz w:val="32"/>
          <w:szCs w:val="32"/>
          <w:shd w:val="clear" w:color="auto" w:fill="FFFFFF"/>
        </w:rPr>
        <w:t>严格进行限制，但最低不能低于5%。</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对风险较高、投诉举报多、列入经营异常名录、标记为经营异常状态或者有严重违法失信记录的市场主体，应当实施重点抽查。</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第十二条  市市场监管局按照市级年度抽查工作计划逐批次从全市检查对象名录库中随机抽取检查对象；县级市场监督管理部门按照本级年度抽查工作计划从辖区检查对象名录库中随机抽取检查对象。</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第十三条  县级市场监督管理部门应当按照管辖所属对抽取的检查对象进行本辖区执法检查人员随机匹配，并综合考虑所辖区域地理环境、人员配备、业务专长、保障水平等客观因素选择抽取方式。</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执法检查人员不能满足本区域内随机抽查基本条件的，可以采取直接委派方式。</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上级市场监督管理部门可以委托下级市场监督管理部门进行检查，被委托部门按照前款规定抽取执法人员。</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第十四条  检查对象名单和执法检查人员匹配名单应</w:t>
      </w:r>
      <w:r w:rsidRPr="00D861C8">
        <w:rPr>
          <w:rFonts w:ascii="仿宋" w:eastAsia="仿宋" w:hAnsi="仿宋" w:hint="eastAsia"/>
          <w:sz w:val="32"/>
          <w:szCs w:val="32"/>
        </w:rPr>
        <w:lastRenderedPageBreak/>
        <w:t>当通过“双随机、一公开”统一监管工作平台随机抽取产生。抽取过程应当公开、公正。</w:t>
      </w:r>
    </w:p>
    <w:p w:rsidR="00F9767C" w:rsidRPr="00D861C8" w:rsidRDefault="00F9767C" w:rsidP="0033141C">
      <w:pPr>
        <w:pStyle w:val="2"/>
        <w:jc w:val="center"/>
      </w:pPr>
      <w:r w:rsidRPr="00D861C8">
        <w:rPr>
          <w:rFonts w:hint="eastAsia"/>
        </w:rPr>
        <w:t>第三章</w:t>
      </w:r>
      <w:r w:rsidRPr="00D861C8">
        <w:rPr>
          <w:rFonts w:hint="eastAsia"/>
        </w:rPr>
        <w:t xml:space="preserve">  </w:t>
      </w:r>
      <w:r w:rsidRPr="00D861C8">
        <w:rPr>
          <w:rFonts w:hint="eastAsia"/>
        </w:rPr>
        <w:t>检查实施</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第十五条  市场监督管理部门可以依法采取现场检查、书面检查、网络检查、检验检测、委托专业机构辅助检查等方式实施抽查检查。</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第十六条  市场监督管理部门采取现场方式检查的，应当依照相关法律法规规章和工作程序规定进行。检查人员不得少于两人，应当出示执法证件。核查结束后，应当及时如实填写实地核查</w:t>
      </w:r>
      <w:r w:rsidR="00143EC1">
        <w:rPr>
          <w:rFonts w:ascii="仿宋" w:eastAsia="仿宋" w:hAnsi="仿宋" w:hint="eastAsia"/>
          <w:sz w:val="32"/>
          <w:szCs w:val="32"/>
        </w:rPr>
        <w:t>登记</w:t>
      </w:r>
      <w:r w:rsidRPr="00D861C8">
        <w:rPr>
          <w:rFonts w:ascii="仿宋" w:eastAsia="仿宋" w:hAnsi="仿宋" w:hint="eastAsia"/>
          <w:sz w:val="32"/>
          <w:szCs w:val="32"/>
        </w:rPr>
        <w:t>表。</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核查</w:t>
      </w:r>
      <w:r w:rsidR="00143EC1">
        <w:rPr>
          <w:rFonts w:ascii="仿宋" w:eastAsia="仿宋" w:hAnsi="仿宋" w:hint="eastAsia"/>
          <w:sz w:val="32"/>
          <w:szCs w:val="32"/>
        </w:rPr>
        <w:t>登记</w:t>
      </w:r>
      <w:r w:rsidRPr="00D861C8">
        <w:rPr>
          <w:rFonts w:ascii="仿宋" w:eastAsia="仿宋" w:hAnsi="仿宋" w:hint="eastAsia"/>
          <w:sz w:val="32"/>
          <w:szCs w:val="32"/>
        </w:rPr>
        <w:t>表应当由被检查市场主体法定代表人、负责人，或者经法定代表人、负责人授权的相关责任人员签字或盖章确认。无法取得签字或者盖章的，检查人员应当注明原因，必要时可邀请相关人员签字见证。</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第十七条  市场监督管理部门采取书面方式检查的，可以通过审查市场主体提供的会计资料、审计报告、行政许可证明、行政处罚决定书、场所使用证明、销售凭证、产品质量检验证书、宣传资料等相关材料，对检查事项实施检查。</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第十八条  市场监督管理部门采取网络监测方式检查的，可以依法使用网络监测软件和工具，对有关网站、网页等进行监测监控；可以与相关部门建立信息交换机制，运用网络技术获取与检查事项相关的信息。</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第十九条  市场监督管理部门采取检验检测方式检查</w:t>
      </w:r>
      <w:r w:rsidRPr="00D861C8">
        <w:rPr>
          <w:rFonts w:ascii="仿宋" w:eastAsia="仿宋" w:hAnsi="仿宋" w:hint="eastAsia"/>
          <w:sz w:val="32"/>
          <w:szCs w:val="32"/>
        </w:rPr>
        <w:lastRenderedPageBreak/>
        <w:t>的，应当委托有专业资质的检验检测机构实施，并依法使用检验检测结果。</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第二十条  检查对象范围涉及专业领域的，市场监督管理部门可以委托有资质的专业机构开展财务审计、调查咨询等工作，或者依法采用其他政府部门检查结论、司法机关生效文书和专业机构作出的鉴定结论。</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委托专业机构实施抽查检查的，市场监督管理部门应当加强业务指导和监督。</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第二十一条 市场监督管理部门对委托行为和采信行为的合法性负责，不对其他政府部门检查核查结果、法院文书以及专业机构结论本身的真实性、合法性负责。</w:t>
      </w:r>
    </w:p>
    <w:p w:rsidR="00F9767C" w:rsidRPr="00D861C8" w:rsidRDefault="00F9767C" w:rsidP="0033141C">
      <w:pPr>
        <w:pStyle w:val="2"/>
        <w:jc w:val="center"/>
      </w:pPr>
      <w:r w:rsidRPr="00D861C8">
        <w:rPr>
          <w:rFonts w:hint="eastAsia"/>
        </w:rPr>
        <w:t>第四章</w:t>
      </w:r>
      <w:r w:rsidRPr="00D861C8">
        <w:rPr>
          <w:rFonts w:hint="eastAsia"/>
        </w:rPr>
        <w:t xml:space="preserve">  </w:t>
      </w:r>
      <w:r w:rsidRPr="00D861C8">
        <w:rPr>
          <w:rFonts w:hint="eastAsia"/>
        </w:rPr>
        <w:t>检查结果公示和运用</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第二十二条  市场监督管理部门应当在</w:t>
      </w:r>
      <w:r w:rsidR="000D1E82">
        <w:rPr>
          <w:rFonts w:ascii="仿宋" w:eastAsia="仿宋" w:hAnsi="仿宋" w:hint="eastAsia"/>
          <w:sz w:val="32"/>
          <w:szCs w:val="32"/>
        </w:rPr>
        <w:t>本</w:t>
      </w:r>
      <w:r w:rsidRPr="00D861C8">
        <w:rPr>
          <w:rFonts w:ascii="仿宋" w:eastAsia="仿宋" w:hAnsi="仿宋" w:hint="eastAsia"/>
          <w:sz w:val="32"/>
          <w:szCs w:val="32"/>
        </w:rPr>
        <w:t>次抽查检查任务完成之日起20个工作日内，按照“谁检查、谁录入、谁公开”的原则，履行审批程序后，将抽查检查结果通过国家企业信用信息公示系统、专业抽查系统和部门网站进行公示；涉及市场主体的抽查检查结果，应当记于市场主体名下通过国家企业信用信息公示系统向社会公示。依法依规不适合公开的情形除外。</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已实施检查但未进行公示的，视为未完成抽查检查任务。</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因投诉举报、转办交办、数据监测等实施检查的，市场监督管理部门应当按照前款规定公示检查结果。</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第二十三条  抽查检查结果信息包括未发现问题、未按</w:t>
      </w:r>
      <w:r w:rsidRPr="00D861C8">
        <w:rPr>
          <w:rFonts w:ascii="仿宋" w:eastAsia="仿宋" w:hAnsi="仿宋" w:hint="eastAsia"/>
          <w:sz w:val="32"/>
          <w:szCs w:val="32"/>
        </w:rPr>
        <w:lastRenderedPageBreak/>
        <w:t>规定公示应当公示的信息、公示信息隐瞒真实情况弄虚作假、通过登记的住所（经营场所）无法联系、发现问题已责令改正、不配合检查情节严重、未发现开展本次抽查涉及的经营活动、发现问题待后续处理等。</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第二十四条  被检查对象主体有下列行为之一的，属于不配合检查情节严重：</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（一）拒绝、阻挠、妨碍检查人员或其委托的专业机构进入被检查场所的；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（二）拒绝接受、阻挠、妨碍询问调查的；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（三）拒绝向检查人员或其委托的专业机构提供会计资料、审计报告、行政许可证明、行政处罚决定书、场所使用证明等相关材料的；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（四）其他阻挠、妨碍检查工作情节严重的。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第二十五条  抽查检查中发现问题的，市场监督管理部门应当按照“谁管辖、谁负责”的原则实施后续监管。</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上级市场监督管理部门可以委托下级市场监督管理部门对本级管辖的市场主体进行后续监管。</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第二十六条  市场监督管理部门对抽查检查发现的违法违规行为进行立案查处的，查处结果应当自作出行政处罚决定之日起</w:t>
      </w:r>
      <w:r w:rsidR="008E6A41">
        <w:rPr>
          <w:rFonts w:ascii="仿宋" w:eastAsia="仿宋" w:hAnsi="仿宋" w:hint="eastAsia"/>
          <w:sz w:val="32"/>
          <w:szCs w:val="32"/>
        </w:rPr>
        <w:t>7</w:t>
      </w:r>
      <w:r w:rsidRPr="00D861C8">
        <w:rPr>
          <w:rFonts w:ascii="仿宋" w:eastAsia="仿宋" w:hAnsi="仿宋" w:hint="eastAsia"/>
          <w:sz w:val="32"/>
          <w:szCs w:val="32"/>
        </w:rPr>
        <w:t>个工作日内通过国家企业信用信息公示系统向社会公示。</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第二十七条  市场监督管理部门在抽查检查中发现市场主体存在被列入经营异常名录或者被标记为经营异常状态情形的，应当依法列入经营异常名录或者标记为经营异常</w:t>
      </w:r>
      <w:r w:rsidRPr="00D861C8">
        <w:rPr>
          <w:rFonts w:ascii="仿宋" w:eastAsia="仿宋" w:hAnsi="仿宋" w:hint="eastAsia"/>
          <w:sz w:val="32"/>
          <w:szCs w:val="32"/>
        </w:rPr>
        <w:lastRenderedPageBreak/>
        <w:t>状态并通过国家企业信用信息公示系统向社会公示。</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第二十八条  市场监督管理部门在抽查检查中发现市场主体存在被列入严重违法失信企业名单情形的，应当依法列入严重违法失信企业名单并通过国家企业信用信息公示系统向社会公示。</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第二十九条  市场监督管理部门在抽查检查中发现被检查对象主体存在其他违法行为的，应当移送有管辖权的部门依法查处。涉嫌犯罪的移送司法机关。</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第三十条  市场监督管理部门在日常行政管理中应当查询和使用抽查检查结果信息，将其作为行政许可、风险管理、授予荣誉等的重要因素。</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第三十一条  市场监督管理部门应当建立双随机抽查检查结果部门间共享交换和互认互用机制，实现“双随机、一公开”监管与信用监管有效衔接，对抽查检查发现的严重违法失信行为依法实施联合惩戒。</w:t>
      </w:r>
    </w:p>
    <w:p w:rsidR="00F9767C" w:rsidRPr="00D861C8" w:rsidRDefault="00F9767C" w:rsidP="0033141C">
      <w:pPr>
        <w:pStyle w:val="2"/>
        <w:jc w:val="center"/>
      </w:pPr>
      <w:r w:rsidRPr="00D861C8">
        <w:rPr>
          <w:rFonts w:hint="eastAsia"/>
        </w:rPr>
        <w:t>第五章</w:t>
      </w:r>
      <w:r w:rsidRPr="00D861C8">
        <w:rPr>
          <w:rFonts w:hint="eastAsia"/>
        </w:rPr>
        <w:t xml:space="preserve">  </w:t>
      </w:r>
      <w:r w:rsidRPr="00D861C8">
        <w:rPr>
          <w:rFonts w:hint="eastAsia"/>
        </w:rPr>
        <w:t>督查考核</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第三十二条  上级市场监督管理部门应当加强对下级市场监管管理部门“双随机、一公开”监管的督查检查、效能评估,适时通报情况，必要时可对下级市场监督管理部门的抽查检查结果进行复查复核。</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第三十三条  县级以上市场监督管理部门应当将“双随机、一公开”监管纳入目标绩效考评，制定考评标准，建立奖惩机制。</w:t>
      </w:r>
    </w:p>
    <w:p w:rsidR="00F9767C" w:rsidRPr="00D861C8" w:rsidRDefault="00F9767C" w:rsidP="0033141C">
      <w:pPr>
        <w:pStyle w:val="2"/>
        <w:jc w:val="center"/>
      </w:pPr>
      <w:r w:rsidRPr="00D861C8">
        <w:rPr>
          <w:rFonts w:hint="eastAsia"/>
        </w:rPr>
        <w:lastRenderedPageBreak/>
        <w:t>第六章</w:t>
      </w:r>
      <w:r w:rsidRPr="00D861C8">
        <w:rPr>
          <w:rFonts w:hint="eastAsia"/>
        </w:rPr>
        <w:t xml:space="preserve">  </w:t>
      </w:r>
      <w:r w:rsidRPr="00D861C8">
        <w:rPr>
          <w:rFonts w:hint="eastAsia"/>
        </w:rPr>
        <w:t>法律责任</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第三十四条  市场监督管理部门未按照本细则的有关规定履行职责的，由上一级市场监督管理部门责令改正；情节严重的，对负有责任的主管人员和其他直接责任人员依照有关规定予以处理。</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第三十五条  市场监督管理部门及其执法检查人员在“双随机、一公开”监管中有下列情形之一的，应当承担行政责任：</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（一）未按要求进行抽查检查，造成不良后果的；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（二）实施抽查检查中存在违规行为，情节严重的；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（三）未依法及时公示抽查检查结果，造成不良后果的；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（四）对抽查检查中发现的涉嫌犯罪案件，未依法移送司法机关处理的；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（五）不执行或者拖延执行抽查任务的；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（六）其他依法依规应当追究责任的。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第三十六条  市场监督管理部门及其执法检查人员在“双随机、一公开”监管中存在下列情形之一、相关市场主体出现问题的，可以免除行政责任：</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（一）按照法律法规规章规定和抽查工作计划安排，已履行抽查检查职责的；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（二）因现有专业技术手段限制不能发现所存在问题的；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（三）检查对象发生事故，性质上与执法检查人员的抽查检查不存在因果关系的；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（四）因被委托进行检查的专业机构出具虚假报告等，</w:t>
      </w:r>
      <w:r w:rsidRPr="00D861C8">
        <w:rPr>
          <w:rFonts w:ascii="仿宋" w:eastAsia="仿宋" w:hAnsi="仿宋" w:hint="eastAsia"/>
          <w:sz w:val="32"/>
          <w:szCs w:val="32"/>
        </w:rPr>
        <w:lastRenderedPageBreak/>
        <w:t>导致错误判定或者处理的；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（五）其他依法依规不应当追究责任的。</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第三十七条  执法检查人员在“双随机、一公开”监管中存在滥用职权、玩忽职守、徇私舞弊等行为的，应当依法依纪追究责任。</w:t>
      </w:r>
    </w:p>
    <w:p w:rsidR="00F9767C" w:rsidRPr="00D861C8" w:rsidRDefault="00F9767C" w:rsidP="0033141C">
      <w:pPr>
        <w:pStyle w:val="2"/>
        <w:jc w:val="center"/>
      </w:pPr>
      <w:r w:rsidRPr="00D861C8">
        <w:rPr>
          <w:rFonts w:hint="eastAsia"/>
        </w:rPr>
        <w:t>第七章</w:t>
      </w:r>
      <w:r w:rsidRPr="00D861C8">
        <w:rPr>
          <w:rFonts w:hint="eastAsia"/>
        </w:rPr>
        <w:t xml:space="preserve">  </w:t>
      </w:r>
      <w:r w:rsidRPr="00D861C8">
        <w:rPr>
          <w:rFonts w:hint="eastAsia"/>
        </w:rPr>
        <w:t>附</w:t>
      </w:r>
      <w:r w:rsidRPr="00D861C8">
        <w:rPr>
          <w:rFonts w:hint="eastAsia"/>
        </w:rPr>
        <w:t xml:space="preserve"> </w:t>
      </w:r>
      <w:r w:rsidRPr="00D861C8">
        <w:rPr>
          <w:rFonts w:hint="eastAsia"/>
        </w:rPr>
        <w:t>则</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第三十八条  市场监督管理部门应当将抽查检查过程中产生的材料、文书、证据等资料</w:t>
      </w:r>
      <w:r w:rsidR="00444872">
        <w:rPr>
          <w:rFonts w:ascii="仿宋" w:eastAsia="仿宋" w:hAnsi="仿宋" w:hint="eastAsia"/>
          <w:sz w:val="32"/>
          <w:szCs w:val="32"/>
        </w:rPr>
        <w:t>进行</w:t>
      </w:r>
      <w:r w:rsidRPr="00D861C8">
        <w:rPr>
          <w:rFonts w:ascii="仿宋" w:eastAsia="仿宋" w:hAnsi="仿宋" w:hint="eastAsia"/>
          <w:sz w:val="32"/>
          <w:szCs w:val="32"/>
        </w:rPr>
        <w:t>整理</w:t>
      </w:r>
      <w:r w:rsidR="00444872">
        <w:rPr>
          <w:rFonts w:ascii="仿宋" w:eastAsia="仿宋" w:hAnsi="仿宋" w:hint="eastAsia"/>
          <w:sz w:val="32"/>
          <w:szCs w:val="32"/>
        </w:rPr>
        <w:t>，建立专门档案</w:t>
      </w:r>
      <w:r w:rsidRPr="00D861C8">
        <w:rPr>
          <w:rFonts w:ascii="仿宋" w:eastAsia="仿宋" w:hAnsi="仿宋" w:hint="eastAsia"/>
          <w:sz w:val="32"/>
          <w:szCs w:val="32"/>
        </w:rPr>
        <w:t>，不得擅自涂改、伪造、损毁档案资料、数据信息。</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第三十九条  抽查检查相关文书样式由市市场监督管理局另行统一制定。</w:t>
      </w:r>
    </w:p>
    <w:p w:rsidR="00F9767C" w:rsidRPr="00D861C8" w:rsidRDefault="00F9767C" w:rsidP="00F9767C">
      <w:pPr>
        <w:spacing w:line="560" w:lineRule="exact"/>
        <w:ind w:firstLineChars="200" w:firstLine="640"/>
        <w:rPr>
          <w:rFonts w:ascii="仿宋" w:eastAsia="仿宋" w:hAnsi="仿宋"/>
          <w:sz w:val="32"/>
          <w:szCs w:val="32"/>
        </w:rPr>
      </w:pPr>
      <w:r w:rsidRPr="00D861C8">
        <w:rPr>
          <w:rFonts w:ascii="仿宋" w:eastAsia="仿宋" w:hAnsi="仿宋" w:hint="eastAsia"/>
          <w:sz w:val="32"/>
          <w:szCs w:val="32"/>
        </w:rPr>
        <w:t>第四十条  本细则由市市场监管局负责解释。</w:t>
      </w:r>
    </w:p>
    <w:p w:rsidR="00F9673E" w:rsidRPr="00D861C8" w:rsidRDefault="00F9767C" w:rsidP="0033141C">
      <w:pPr>
        <w:ind w:firstLineChars="200" w:firstLine="640"/>
        <w:rPr>
          <w:rFonts w:ascii="仿宋" w:eastAsia="仿宋" w:hAnsi="仿宋"/>
          <w:sz w:val="32"/>
          <w:szCs w:val="32"/>
        </w:rPr>
      </w:pPr>
      <w:r w:rsidRPr="00D861C8">
        <w:rPr>
          <w:rFonts w:ascii="仿宋" w:eastAsia="仿宋" w:hAnsi="仿宋" w:hint="eastAsia"/>
          <w:sz w:val="32"/>
          <w:szCs w:val="32"/>
        </w:rPr>
        <w:t>第四十一条  本细则自印发之日起施行</w:t>
      </w:r>
    </w:p>
    <w:sectPr w:rsidR="00F9673E" w:rsidRPr="00D861C8" w:rsidSect="00F9673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77" w:rsidRDefault="00F56B77" w:rsidP="00464A39">
      <w:r>
        <w:separator/>
      </w:r>
    </w:p>
  </w:endnote>
  <w:endnote w:type="continuationSeparator" w:id="1">
    <w:p w:rsidR="00F56B77" w:rsidRDefault="00F56B77" w:rsidP="00464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2117"/>
      <w:docPartObj>
        <w:docPartGallery w:val="Page Numbers (Bottom of Page)"/>
        <w:docPartUnique/>
      </w:docPartObj>
    </w:sdtPr>
    <w:sdtContent>
      <w:p w:rsidR="00464A39" w:rsidRDefault="00CF430E">
        <w:pPr>
          <w:pStyle w:val="a4"/>
          <w:jc w:val="center"/>
        </w:pPr>
        <w:fldSimple w:instr=" PAGE   \* MERGEFORMAT ">
          <w:r w:rsidR="00DC441B" w:rsidRPr="00DC441B">
            <w:rPr>
              <w:noProof/>
              <w:lang w:val="zh-CN"/>
            </w:rPr>
            <w:t>1</w:t>
          </w:r>
        </w:fldSimple>
      </w:p>
    </w:sdtContent>
  </w:sdt>
  <w:p w:rsidR="00464A39" w:rsidRDefault="00464A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77" w:rsidRDefault="00F56B77" w:rsidP="00464A39">
      <w:r>
        <w:separator/>
      </w:r>
    </w:p>
  </w:footnote>
  <w:footnote w:type="continuationSeparator" w:id="1">
    <w:p w:rsidR="00F56B77" w:rsidRDefault="00F56B77" w:rsidP="00464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67C"/>
    <w:rsid w:val="000039B8"/>
    <w:rsid w:val="0001781A"/>
    <w:rsid w:val="00073DE6"/>
    <w:rsid w:val="0009576B"/>
    <w:rsid w:val="000B69BE"/>
    <w:rsid w:val="000D1E82"/>
    <w:rsid w:val="001133B0"/>
    <w:rsid w:val="00143EC1"/>
    <w:rsid w:val="001736C4"/>
    <w:rsid w:val="0022106E"/>
    <w:rsid w:val="00302EAE"/>
    <w:rsid w:val="0033141C"/>
    <w:rsid w:val="00334D51"/>
    <w:rsid w:val="00360848"/>
    <w:rsid w:val="0038691A"/>
    <w:rsid w:val="003F4523"/>
    <w:rsid w:val="00444872"/>
    <w:rsid w:val="004544F0"/>
    <w:rsid w:val="00464A39"/>
    <w:rsid w:val="006216A3"/>
    <w:rsid w:val="006478AF"/>
    <w:rsid w:val="00684371"/>
    <w:rsid w:val="006F61FD"/>
    <w:rsid w:val="007300D5"/>
    <w:rsid w:val="00794073"/>
    <w:rsid w:val="007A27E1"/>
    <w:rsid w:val="007A3A9C"/>
    <w:rsid w:val="00805B16"/>
    <w:rsid w:val="008161AA"/>
    <w:rsid w:val="00857EF3"/>
    <w:rsid w:val="008E6A41"/>
    <w:rsid w:val="00913A02"/>
    <w:rsid w:val="00A011F4"/>
    <w:rsid w:val="00A020CB"/>
    <w:rsid w:val="00A53E60"/>
    <w:rsid w:val="00A705C0"/>
    <w:rsid w:val="00A738DE"/>
    <w:rsid w:val="00B502EA"/>
    <w:rsid w:val="00BA16A6"/>
    <w:rsid w:val="00BE4CD0"/>
    <w:rsid w:val="00C96985"/>
    <w:rsid w:val="00CF430E"/>
    <w:rsid w:val="00D74473"/>
    <w:rsid w:val="00D85847"/>
    <w:rsid w:val="00D861C8"/>
    <w:rsid w:val="00DC441B"/>
    <w:rsid w:val="00EB2EA8"/>
    <w:rsid w:val="00EE1F03"/>
    <w:rsid w:val="00EF3209"/>
    <w:rsid w:val="00F56B77"/>
    <w:rsid w:val="00F63BB9"/>
    <w:rsid w:val="00F83975"/>
    <w:rsid w:val="00F9673E"/>
    <w:rsid w:val="00F9767C"/>
    <w:rsid w:val="00FA6990"/>
    <w:rsid w:val="00FB4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7C"/>
    <w:pPr>
      <w:widowControl w:val="0"/>
      <w:jc w:val="both"/>
    </w:pPr>
  </w:style>
  <w:style w:type="paragraph" w:styleId="2">
    <w:name w:val="heading 2"/>
    <w:basedOn w:val="a"/>
    <w:next w:val="a"/>
    <w:link w:val="2Char"/>
    <w:uiPriority w:val="9"/>
    <w:unhideWhenUsed/>
    <w:qFormat/>
    <w:rsid w:val="003314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4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4A39"/>
    <w:rPr>
      <w:sz w:val="18"/>
      <w:szCs w:val="18"/>
    </w:rPr>
  </w:style>
  <w:style w:type="paragraph" w:styleId="a4">
    <w:name w:val="footer"/>
    <w:basedOn w:val="a"/>
    <w:link w:val="Char0"/>
    <w:uiPriority w:val="99"/>
    <w:unhideWhenUsed/>
    <w:rsid w:val="00464A39"/>
    <w:pPr>
      <w:tabs>
        <w:tab w:val="center" w:pos="4153"/>
        <w:tab w:val="right" w:pos="8306"/>
      </w:tabs>
      <w:snapToGrid w:val="0"/>
      <w:jc w:val="left"/>
    </w:pPr>
    <w:rPr>
      <w:sz w:val="18"/>
      <w:szCs w:val="18"/>
    </w:rPr>
  </w:style>
  <w:style w:type="character" w:customStyle="1" w:styleId="Char0">
    <w:name w:val="页脚 Char"/>
    <w:basedOn w:val="a0"/>
    <w:link w:val="a4"/>
    <w:uiPriority w:val="99"/>
    <w:rsid w:val="00464A39"/>
    <w:rPr>
      <w:sz w:val="18"/>
      <w:szCs w:val="18"/>
    </w:rPr>
  </w:style>
  <w:style w:type="paragraph" w:styleId="a5">
    <w:name w:val="Balloon Text"/>
    <w:basedOn w:val="a"/>
    <w:link w:val="Char1"/>
    <w:uiPriority w:val="99"/>
    <w:semiHidden/>
    <w:unhideWhenUsed/>
    <w:rsid w:val="00D861C8"/>
    <w:rPr>
      <w:sz w:val="18"/>
      <w:szCs w:val="18"/>
    </w:rPr>
  </w:style>
  <w:style w:type="character" w:customStyle="1" w:styleId="Char1">
    <w:name w:val="批注框文本 Char"/>
    <w:basedOn w:val="a0"/>
    <w:link w:val="a5"/>
    <w:uiPriority w:val="99"/>
    <w:semiHidden/>
    <w:rsid w:val="00D861C8"/>
    <w:rPr>
      <w:sz w:val="18"/>
      <w:szCs w:val="18"/>
    </w:rPr>
  </w:style>
  <w:style w:type="paragraph" w:styleId="a6">
    <w:name w:val="Normal (Web)"/>
    <w:basedOn w:val="a"/>
    <w:uiPriority w:val="99"/>
    <w:unhideWhenUsed/>
    <w:rsid w:val="0036084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33141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64635708">
      <w:bodyDiv w:val="1"/>
      <w:marLeft w:val="0"/>
      <w:marRight w:val="0"/>
      <w:marTop w:val="0"/>
      <w:marBottom w:val="0"/>
      <w:divBdr>
        <w:top w:val="none" w:sz="0" w:space="0" w:color="auto"/>
        <w:left w:val="none" w:sz="0" w:space="0" w:color="auto"/>
        <w:bottom w:val="none" w:sz="0" w:space="0" w:color="auto"/>
        <w:right w:val="none" w:sz="0" w:space="0" w:color="auto"/>
      </w:divBdr>
    </w:div>
    <w:div w:id="3366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11</Pages>
  <Words>788</Words>
  <Characters>4494</Characters>
  <Application>Microsoft Office Word</Application>
  <DocSecurity>0</DocSecurity>
  <Lines>37</Lines>
  <Paragraphs>10</Paragraphs>
  <ScaleCrop>false</ScaleCrop>
  <Company>Microsoft</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38</cp:revision>
  <cp:lastPrinted>2019-11-08T03:23:00Z</cp:lastPrinted>
  <dcterms:created xsi:type="dcterms:W3CDTF">2019-10-12T03:55:00Z</dcterms:created>
  <dcterms:modified xsi:type="dcterms:W3CDTF">2019-11-19T23:55:00Z</dcterms:modified>
</cp:coreProperties>
</file>