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center"/>
        <w:textAlignment w:val="auto"/>
        <w:outlineLvl w:val="0"/>
        <w:rPr>
          <w:rStyle w:val="9"/>
          <w:rFonts w:hint="default" w:ascii="Times New Roman" w:hAnsi="Times New Roman" w:eastAsia="方正小标宋简体" w:cs="Times New Roman"/>
          <w:b w:val="0"/>
          <w:bCs w:val="0"/>
          <w:color w:val="000000" w:themeColor="text1"/>
          <w:kern w:val="2"/>
          <w:sz w:val="44"/>
          <w:szCs w:val="44"/>
          <w14:textFill>
            <w14:solidFill>
              <w14:schemeClr w14:val="tx1"/>
            </w14:solidFill>
          </w14:textFill>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center"/>
        <w:textAlignment w:val="auto"/>
        <w:outlineLvl w:val="0"/>
        <w:rPr>
          <w:rStyle w:val="9"/>
          <w:rFonts w:hint="default" w:ascii="Times New Roman" w:hAnsi="Times New Roman" w:eastAsia="方正小标宋简体" w:cs="Times New Roman"/>
          <w:b w:val="0"/>
          <w:bCs w:val="0"/>
          <w:color w:val="000000" w:themeColor="text1"/>
          <w:kern w:val="2"/>
          <w:sz w:val="44"/>
          <w:szCs w:val="44"/>
          <w14:textFill>
            <w14:solidFill>
              <w14:schemeClr w14:val="tx1"/>
            </w14:solidFill>
          </w14:textFill>
        </w:rPr>
      </w:pPr>
      <w:r>
        <w:rPr>
          <w:rStyle w:val="9"/>
          <w:rFonts w:hint="default" w:ascii="Times New Roman" w:hAnsi="Times New Roman" w:eastAsia="方正小标宋简体" w:cs="Times New Roman"/>
          <w:b w:val="0"/>
          <w:bCs w:val="0"/>
          <w:color w:val="000000" w:themeColor="text1"/>
          <w:kern w:val="2"/>
          <w:sz w:val="44"/>
          <w:szCs w:val="44"/>
          <w14:textFill>
            <w14:solidFill>
              <w14:schemeClr w14:val="tx1"/>
            </w14:solidFill>
          </w14:textFill>
        </w:rPr>
        <w:t>计量标准考核办法</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center"/>
        <w:textAlignment w:val="auto"/>
        <w:outlineLvl w:val="0"/>
        <w:rPr>
          <w:rStyle w:val="9"/>
          <w:rFonts w:hint="default" w:ascii="Times New Roman" w:hAnsi="Times New Roman" w:eastAsia="方正小标宋简体" w:cs="Times New Roman"/>
          <w:b w:val="0"/>
          <w:bCs w:val="0"/>
          <w:color w:val="000000" w:themeColor="text1"/>
          <w:kern w:val="2"/>
          <w:sz w:val="44"/>
          <w:szCs w:val="44"/>
          <w14:textFill>
            <w14:solidFill>
              <w14:schemeClr w14:val="tx1"/>
            </w14:solidFill>
          </w14:textFill>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outlineLvl w:val="0"/>
        <w:rPr>
          <w:rFonts w:hint="default" w:ascii="Times New Roman" w:hAnsi="Times New Roman" w:eastAsia="楷体_GB2312" w:cs="Times New Roman"/>
          <w:b w:val="0"/>
          <w:bCs w:val="0"/>
          <w:color w:val="000000" w:themeColor="text1"/>
          <w:kern w:val="2"/>
          <w:sz w:val="32"/>
          <w:szCs w:val="32"/>
          <w14:textFill>
            <w14:solidFill>
              <w14:schemeClr w14:val="tx1"/>
            </w14:solidFill>
          </w14:textFill>
        </w:rPr>
      </w:pPr>
      <w:bookmarkStart w:id="0" w:name="_GoBack"/>
      <w:r>
        <w:rPr>
          <w:rFonts w:hint="default" w:ascii="Times New Roman" w:hAnsi="Times New Roman" w:eastAsia="楷体_GB2312" w:cs="Times New Roman"/>
          <w:b w:val="0"/>
          <w:bCs w:val="0"/>
          <w:color w:val="000000" w:themeColor="text1"/>
          <w:kern w:val="2"/>
          <w:sz w:val="32"/>
          <w:szCs w:val="32"/>
          <w14:textFill>
            <w14:solidFill>
              <w14:schemeClr w14:val="tx1"/>
            </w14:solidFill>
          </w14:textFill>
        </w:rPr>
        <w:t>（2005年1月14日国家质量监督检验检疫总局令第72号公布</w:t>
      </w:r>
      <w:r>
        <w:rPr>
          <w:rFonts w:hint="default" w:ascii="Times New Roman" w:hAnsi="Times New Roman" w:eastAsia="楷体_GB2312" w:cs="Times New Roman"/>
          <w:b w:val="0"/>
          <w:bCs w:val="0"/>
          <w:color w:val="000000" w:themeColor="text1"/>
          <w:kern w:val="2"/>
          <w:sz w:val="32"/>
          <w:szCs w:val="32"/>
          <w:lang w:val="en-US" w:eastAsia="zh-CN"/>
          <w14:textFill>
            <w14:solidFill>
              <w14:schemeClr w14:val="tx1"/>
            </w14:solidFill>
          </w14:textFill>
        </w:rPr>
        <w:t xml:space="preserve">  </w:t>
      </w:r>
      <w:r>
        <w:rPr>
          <w:rFonts w:hint="default" w:ascii="Times New Roman" w:hAnsi="Times New Roman" w:eastAsia="楷体_GB2312" w:cs="Times New Roman"/>
          <w:b w:val="0"/>
          <w:bCs w:val="0"/>
          <w:color w:val="000000" w:themeColor="text1"/>
          <w:kern w:val="2"/>
          <w:sz w:val="32"/>
          <w:szCs w:val="32"/>
          <w14:textFill>
            <w14:solidFill>
              <w14:schemeClr w14:val="tx1"/>
            </w14:solidFill>
          </w14:textFill>
        </w:rPr>
        <w:t>根据2018年3月6日国家质量监督检验检疫总局令第196号第一次修改</w:t>
      </w:r>
      <w:r>
        <w:rPr>
          <w:rFonts w:hint="default" w:ascii="Times New Roman" w:hAnsi="Times New Roman" w:eastAsia="楷体_GB2312" w:cs="Times New Roman"/>
          <w:b w:val="0"/>
          <w:bCs w:val="0"/>
          <w:color w:val="000000" w:themeColor="text1"/>
          <w:kern w:val="2"/>
          <w:sz w:val="32"/>
          <w:szCs w:val="32"/>
          <w:lang w:val="en-US" w:eastAsia="zh-CN"/>
          <w14:textFill>
            <w14:solidFill>
              <w14:schemeClr w14:val="tx1"/>
            </w14:solidFill>
          </w14:textFill>
        </w:rPr>
        <w:t xml:space="preserve">  </w:t>
      </w:r>
      <w:r>
        <w:rPr>
          <w:rFonts w:hint="default" w:ascii="Times New Roman" w:hAnsi="Times New Roman" w:eastAsia="楷体_GB2312" w:cs="Times New Roman"/>
          <w:b w:val="0"/>
          <w:bCs w:val="0"/>
          <w:color w:val="000000" w:themeColor="text1"/>
          <w:kern w:val="2"/>
          <w:sz w:val="32"/>
          <w:szCs w:val="32"/>
          <w14:textFill>
            <w14:solidFill>
              <w14:schemeClr w14:val="tx1"/>
            </w14:solidFill>
          </w14:textFill>
        </w:rPr>
        <w:t>根据2018年12月21日国家市场监督管理总局令第4号第二次修改</w:t>
      </w:r>
      <w:r>
        <w:rPr>
          <w:rFonts w:hint="default" w:ascii="Times New Roman" w:hAnsi="Times New Roman" w:eastAsia="楷体_GB2312" w:cs="Times New Roman"/>
          <w:b w:val="0"/>
          <w:bCs w:val="0"/>
          <w:color w:val="000000" w:themeColor="text1"/>
          <w:kern w:val="2"/>
          <w:sz w:val="32"/>
          <w:szCs w:val="32"/>
          <w:lang w:val="en-US" w:eastAsia="zh-CN"/>
          <w14:textFill>
            <w14:solidFill>
              <w14:schemeClr w14:val="tx1"/>
            </w14:solidFill>
          </w14:textFill>
        </w:rPr>
        <w:t xml:space="preserve">  </w:t>
      </w:r>
      <w:r>
        <w:rPr>
          <w:rFonts w:hint="default" w:ascii="Times New Roman" w:hAnsi="Times New Roman" w:eastAsia="楷体_GB2312" w:cs="Times New Roman"/>
          <w:b w:val="0"/>
          <w:bCs w:val="0"/>
          <w:color w:val="000000" w:themeColor="text1"/>
          <w:kern w:val="2"/>
          <w:sz w:val="32"/>
          <w:szCs w:val="32"/>
          <w14:textFill>
            <w14:solidFill>
              <w14:schemeClr w14:val="tx1"/>
            </w14:solidFill>
          </w14:textFill>
        </w:rPr>
        <w:t>根据2020年10月23日国家市场监督管理总局令第31号第三次修改）</w:t>
      </w:r>
    </w:p>
    <w:bookmarkEnd w:id="0"/>
    <w:p>
      <w:pPr>
        <w:keepNext w:val="0"/>
        <w:keepLines w:val="0"/>
        <w:pageBreakBefore w:val="0"/>
        <w:kinsoku/>
        <w:wordWrap/>
        <w:overflowPunct/>
        <w:topLinePunct w:val="0"/>
        <w:autoSpaceDE/>
        <w:autoSpaceDN/>
        <w:bidi w:val="0"/>
        <w:adjustRightInd/>
        <w:snapToGrid/>
        <w:spacing w:line="594" w:lineRule="exact"/>
        <w:ind w:left="0" w:leftChars="0" w:right="0" w:rightChars="0" w:firstLine="420" w:firstLineChars="200"/>
        <w:jc w:val="left"/>
        <w:textAlignment w:val="auto"/>
        <w:rPr>
          <w:rFonts w:hint="default" w:ascii="Times New Roman" w:hAnsi="Times New Roman" w:cs="Times New Roman"/>
          <w:b w:val="0"/>
          <w:bCs w:val="0"/>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w:t>
      </w:r>
      <w:r>
        <w:rPr>
          <w:rFonts w:hint="default" w:ascii="Times New Roman" w:hAnsi="Times New Roman" w:eastAsia="黑体" w:cs="Times New Roman"/>
          <w:b w:val="0"/>
          <w:bCs w:val="0"/>
          <w:color w:val="000000" w:themeColor="text1"/>
          <w:sz w:val="32"/>
          <w:szCs w:val="32"/>
          <w14:textFill>
            <w14:solidFill>
              <w14:schemeClr w14:val="tx1"/>
            </w14:solidFill>
          </w14:textFill>
        </w:rPr>
        <w:t xml:space="preserve">　第一条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为实施计量标准考核工作，根据《中华人民共和国计量法》，《中华人民共和国计量法实施细则》的有关规定，制定本办法。</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w:t>
      </w:r>
      <w:r>
        <w:rPr>
          <w:rFonts w:hint="default" w:ascii="Times New Roman" w:hAnsi="Times New Roman" w:eastAsia="黑体" w:cs="Times New Roman"/>
          <w:b w:val="0"/>
          <w:bCs w:val="0"/>
          <w:color w:val="000000" w:themeColor="text1"/>
          <w:sz w:val="32"/>
          <w:szCs w:val="32"/>
          <w14:textFill>
            <w14:solidFill>
              <w14:schemeClr w14:val="tx1"/>
            </w14:solidFill>
          </w14:textFill>
        </w:rPr>
        <w:t>　第二条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社会公用计量标准，部门和企业、事业单位的各项最高等级的计量标准，应当按照本办法进行考核。</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w:t>
      </w:r>
      <w:r>
        <w:rPr>
          <w:rFonts w:hint="default" w:ascii="Times New Roman" w:hAnsi="Times New Roman" w:eastAsia="黑体" w:cs="Times New Roman"/>
          <w:b w:val="0"/>
          <w:bCs w:val="0"/>
          <w:color w:val="000000" w:themeColor="text1"/>
          <w:sz w:val="32"/>
          <w:szCs w:val="32"/>
          <w14:textFill>
            <w14:solidFill>
              <w14:schemeClr w14:val="tx1"/>
            </w14:solidFill>
          </w14:textFill>
        </w:rPr>
        <w:t>第三条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本办法所称计量标准考核，是指市场监督管理部门对计量标准测量能力的评定和开展量值传递资格的确认。计量标准考核包括对新建计量标准的考核和对计量标准的复查考核。</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　　第四条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国家市场监督管理总局统一监督管理全国计量标准考核工作。省级市场监督管理部门负责监督管理本行政区域内计量标准考核工作。</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w:t>
      </w:r>
      <w:r>
        <w:rPr>
          <w:rFonts w:hint="default" w:ascii="Times New Roman" w:hAnsi="Times New Roman" w:eastAsia="黑体" w:cs="Times New Roman"/>
          <w:b w:val="0"/>
          <w:bCs w:val="0"/>
          <w:color w:val="000000" w:themeColor="text1"/>
          <w:sz w:val="32"/>
          <w:szCs w:val="32"/>
          <w14:textFill>
            <w14:solidFill>
              <w14:schemeClr w14:val="tx1"/>
            </w14:solidFill>
          </w14:textFill>
        </w:rPr>
        <w:t>第五条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国家市场监督管理总局组织建立的社会公用计量标准及各省级市场监督管理部门组织建立的各项最高等级的社会公用计量标准，由国家市场监督管理总局主持考核；地（市）、县级市场监督管理部门组织建立的各项最高等级的社会公用计量标准，由上一级市场监督管理部门主持考核；各级地方市场监督管理部门组织建立其他等级的社会公用计量标准，由组织建立计量标准的市场监督管理部门主持考核。</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国务院有关部门和省、自治区、直辖市有关部门建立的各项最高等级的计量标准，由同级的市场监督管理部门主持考核。</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国务院有关部门所属的企业、事业单位建立的各项最高等级的计量标准，由国家市场监督管理总局主持考核；省、自治区、直辖市有关部门所属的企业、事业单位建立的各项最高等级的计量标准，由当地省级市场监督管理部门主持考核；无主管部门的企业单位建立的各项最高等级的计量标准，由该企业登记注册地的市场监督管理部门主持考核。</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w:t>
      </w:r>
      <w:r>
        <w:rPr>
          <w:rFonts w:hint="default" w:ascii="Times New Roman" w:hAnsi="Times New Roman" w:eastAsia="黑体" w:cs="Times New Roman"/>
          <w:b w:val="0"/>
          <w:bCs w:val="0"/>
          <w:color w:val="000000" w:themeColor="text1"/>
          <w:sz w:val="32"/>
          <w:szCs w:val="32"/>
          <w14:textFill>
            <w14:solidFill>
              <w14:schemeClr w14:val="tx1"/>
            </w14:solidFill>
          </w14:textFill>
        </w:rPr>
        <w:t>第六条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进行计量标准考核，应当考核以下内容：</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一）计量标准器及配套设备齐全，计量标准器必须经法定或者计量授权的计量技术机构检定合格（没有计量检定规程的，应当通过校准、比对等方式，将量值溯源至国家计量基准或者社会公用计量标准），配套的计量设备经检定合格或者校准；</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（二）具备开展量值传递的计量检定规程或者技术规范和完整的技术资料；</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（三）具备符合计量检定规程或者技术规范并确保计量标准正常工作所需要的温度、湿度、防尘、防震、防腐蚀、抗干扰等环境条件和工作场地；</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（四）配备至少两名具有相应能力，并满足有关计量法律法规要求的计量检定或校准人员；</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（五）具有完善的运行、维护制度，包括实验室岗位责任制度，计量标准的保存、使用、维护制度，量值溯源制度，原始记录及证书核验制度，事故报告制度，计量标准技术档案管理制度等；</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（六）计量标准的稳定性和检定或者校准结果的重复性符合技术要求。</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w:t>
      </w:r>
      <w:r>
        <w:rPr>
          <w:rFonts w:hint="default" w:ascii="Times New Roman" w:hAnsi="Times New Roman" w:eastAsia="黑体" w:cs="Times New Roman"/>
          <w:b w:val="0"/>
          <w:bCs w:val="0"/>
          <w:color w:val="000000" w:themeColor="text1"/>
          <w:sz w:val="32"/>
          <w:szCs w:val="32"/>
          <w14:textFill>
            <w14:solidFill>
              <w14:schemeClr w14:val="tx1"/>
            </w14:solidFill>
          </w14:textFill>
        </w:rPr>
        <w:t>第七条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计量标准考核坚持逐项考评的原则。新建计量标准的考核采取现场考评的方式，并通过现场实验对测量能力进行验证；计量标准的复查考核可以采取现场考评、函审或者现场抽查的方式进行。</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w:t>
      </w:r>
      <w:r>
        <w:rPr>
          <w:rFonts w:hint="default" w:ascii="Times New Roman" w:hAnsi="Times New Roman" w:eastAsia="黑体" w:cs="Times New Roman"/>
          <w:b w:val="0"/>
          <w:bCs w:val="0"/>
          <w:color w:val="000000" w:themeColor="text1"/>
          <w:sz w:val="32"/>
          <w:szCs w:val="32"/>
          <w14:textFill>
            <w14:solidFill>
              <w14:schemeClr w14:val="tx1"/>
            </w14:solidFill>
          </w14:textFill>
        </w:rPr>
        <w:t>第八条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申请新建计量标准考核，申请计量标准考核的单位（以下简称申请考核单位）应当向主持考核的市场监督管理部门递交以下申请资料：</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（一）计量标准考核（复查）申请书和计量标准技术报告；</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（二）计量标准器及配套的主要计量设备有效检定或者校准证书，以及可以证明计量标准具有相应测量能力的其他技术资料复印件各1份。</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w:t>
      </w:r>
      <w:r>
        <w:rPr>
          <w:rFonts w:hint="default" w:ascii="Times New Roman" w:hAnsi="Times New Roman" w:eastAsia="黑体" w:cs="Times New Roman"/>
          <w:b w:val="0"/>
          <w:bCs w:val="0"/>
          <w:color w:val="000000" w:themeColor="text1"/>
          <w:sz w:val="32"/>
          <w:szCs w:val="32"/>
          <w14:textFill>
            <w14:solidFill>
              <w14:schemeClr w14:val="tx1"/>
            </w14:solidFill>
          </w14:textFill>
        </w:rPr>
        <w:t>第九条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申请计量标准复查考核，申请考核单位应当向主持考核的市场监督管理部门递交以下申请资料：</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（一）计量标准考核（复查）申请书和计量标准技术报告；</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（二）计量标准考核证书有效期内计量标准器及配套的主要计量设备的有效检定或者校准证书，以及可以证明计量标准具有相应测量能力的其他技术资料复印件各1份；</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（三）计量标准封存、注销、更换等相关申请材料（如果适用）复印件1份。</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w:t>
      </w:r>
      <w:r>
        <w:rPr>
          <w:rFonts w:hint="default" w:ascii="Times New Roman" w:hAnsi="Times New Roman" w:eastAsia="黑体" w:cs="Times New Roman"/>
          <w:b w:val="0"/>
          <w:bCs w:val="0"/>
          <w:color w:val="000000" w:themeColor="text1"/>
          <w:sz w:val="32"/>
          <w:szCs w:val="32"/>
          <w14:textFill>
            <w14:solidFill>
              <w14:schemeClr w14:val="tx1"/>
            </w14:solidFill>
          </w14:textFill>
        </w:rPr>
        <w:t>　第十条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申请考核单位，应当向主持考核的市场监督管理部门递交计量标准考核申请书和有关技术资料。主持考核的市场监督管理部门应当对申请资料的完整性进行审查，符合规定要求的，予以受理；不符合规定要求的，在5个工作日内通知申请考核单位需要补充的全部内容；经补充符合要求的，予以受理。主持考核的市场监督管理部门逾期未告知申请考核单位是否受理申请的，视为受理。</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w:t>
      </w:r>
      <w:r>
        <w:rPr>
          <w:rFonts w:hint="default" w:ascii="Times New Roman" w:hAnsi="Times New Roman" w:eastAsia="黑体" w:cs="Times New Roman"/>
          <w:b w:val="0"/>
          <w:bCs w:val="0"/>
          <w:color w:val="000000" w:themeColor="text1"/>
          <w:sz w:val="32"/>
          <w:szCs w:val="32"/>
          <w14:textFill>
            <w14:solidFill>
              <w14:schemeClr w14:val="tx1"/>
            </w14:solidFill>
          </w14:textFill>
        </w:rPr>
        <w:t>　第十一条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主持考核的市场监督管理部门所辖区域内的计量技术机构具有与被考核计量标准相同或者更高等级的计量标准，并有该项目备案计量标准考评员的，应当自行组织考核；不具备上述条件的，应当呈报上一级市场监督管理部门组织考核。</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主持考核的市场监督管理部门应当将考核所需时间和组织考核的市场监督管理部门通知申请考核单位。申请考核单位应当做好考核前的准备工作。</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w:t>
      </w:r>
      <w:r>
        <w:rPr>
          <w:rFonts w:hint="default" w:ascii="Times New Roman" w:hAnsi="Times New Roman" w:eastAsia="黑体" w:cs="Times New Roman"/>
          <w:b w:val="0"/>
          <w:bCs w:val="0"/>
          <w:color w:val="000000" w:themeColor="text1"/>
          <w:sz w:val="32"/>
          <w:szCs w:val="32"/>
          <w14:textFill>
            <w14:solidFill>
              <w14:schemeClr w14:val="tx1"/>
            </w14:solidFill>
          </w14:textFill>
        </w:rPr>
        <w:t>第十二条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组织考核的市场监督管理部门应当委托具有相应能力的单位（以下简称考评单位）或者考评组承担计量标准考核的考评任务。</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计量标准的考评工作由计量标准考评员执行。特殊项目，组织考核的市场监督管理部门可聘请技术专家和计量标准考评员组成考评组执行考评工作。</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计量标准考评员分为两级，计量标准一级考评员由国家市场监督管理总局组织考核，计量标准二级考评员由省级市场监督管理部门组织考核，经考核合格的考评员，分别由国家市场监督管理总局和省级市场监督管理部门进行管理。</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w:t>
      </w:r>
      <w:r>
        <w:rPr>
          <w:rFonts w:hint="default" w:ascii="Times New Roman" w:hAnsi="Times New Roman" w:eastAsia="黑体" w:cs="Times New Roman"/>
          <w:b w:val="0"/>
          <w:bCs w:val="0"/>
          <w:color w:val="000000" w:themeColor="text1"/>
          <w:sz w:val="32"/>
          <w:szCs w:val="32"/>
          <w14:textFill>
            <w14:solidFill>
              <w14:schemeClr w14:val="tx1"/>
            </w14:solidFill>
          </w14:textFill>
        </w:rPr>
        <w:t>　第十三条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考评单位和考评组应当按照计量标准考核规范的规定进行计量标准考评工作，并在规定时间内按时完成考评任务。</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w:t>
      </w:r>
      <w:r>
        <w:rPr>
          <w:rFonts w:hint="default" w:ascii="Times New Roman" w:hAnsi="Times New Roman" w:eastAsia="黑体" w:cs="Times New Roman"/>
          <w:b w:val="0"/>
          <w:bCs w:val="0"/>
          <w:color w:val="000000" w:themeColor="text1"/>
          <w:sz w:val="32"/>
          <w:szCs w:val="32"/>
          <w14:textFill>
            <w14:solidFill>
              <w14:schemeClr w14:val="tx1"/>
            </w14:solidFill>
          </w14:textFill>
        </w:rPr>
        <w:t>　第十四条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考评单位及考评组完成考评任务后，应当将考评材料报送组织考核的市场监督管理部门。组织考核的市场监督管理部门审核后递交主持考核的市场监督管理部门审批。</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w:t>
      </w:r>
      <w:r>
        <w:rPr>
          <w:rFonts w:hint="default" w:ascii="Times New Roman" w:hAnsi="Times New Roman" w:eastAsia="黑体" w:cs="Times New Roman"/>
          <w:b w:val="0"/>
          <w:bCs w:val="0"/>
          <w:color w:val="000000" w:themeColor="text1"/>
          <w:sz w:val="32"/>
          <w:szCs w:val="32"/>
          <w14:textFill>
            <w14:solidFill>
              <w14:schemeClr w14:val="tx1"/>
            </w14:solidFill>
          </w14:textFill>
        </w:rPr>
        <w:t>第十五条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主持考核的市场监督管理部门应当在接到考评材料的20个工作日内完成审批工作，确认考核合格的，主持考核的市场监督管理部门做出考核合格的行政许可决定，并在10个工作日内向申请考核单位颁发计量标准考核证书；不合格的，主持考核的市场监督管理部门应当向申请考核单位发送不予行政许可决定。</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 xml:space="preserve">　　第十六条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计量标准考核证书的有效期为5年。在证书有效期内，如需要更换、封存和注销计量标准，应当向主持考核的市场监督管理部门申报、履行有关手续。注销计量标准的，由主持考核的市场监督管理部门收回计量标准考核证书。</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　　第十七条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计量标准考核证书有效期届满前6个月，持证单位应当向主持考核的市场监督管理部门申请复查考核。经复查考核合格，准予延长有效期；不合格的，主持考核的市场监督管理部门应当向申请复查考核单位发送不予行政许可决定。超过计量标准考核证书有效期的，申请考核单位应当按照新建计量标准重新申请考核。</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w:t>
      </w:r>
      <w:r>
        <w:rPr>
          <w:rFonts w:hint="default" w:ascii="Times New Roman" w:hAnsi="Times New Roman" w:eastAsia="黑体" w:cs="Times New Roman"/>
          <w:b w:val="0"/>
          <w:bCs w:val="0"/>
          <w:color w:val="000000" w:themeColor="text1"/>
          <w:sz w:val="32"/>
          <w:szCs w:val="32"/>
          <w14:textFill>
            <w14:solidFill>
              <w14:schemeClr w14:val="tx1"/>
            </w14:solidFill>
          </w14:textFill>
        </w:rPr>
        <w:t>　第十八条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主持考核的市场监督管理部门应当加强对计量标准考核工作的管理，可以采用计量比对、盲样检测和现场试验等方式，对计量标准考核证书有效期内的计量标准进行监督管理。</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w:t>
      </w:r>
      <w:r>
        <w:rPr>
          <w:rFonts w:hint="default" w:ascii="Times New Roman" w:hAnsi="Times New Roman" w:eastAsia="黑体" w:cs="Times New Roman"/>
          <w:b w:val="0"/>
          <w:bCs w:val="0"/>
          <w:color w:val="000000" w:themeColor="text1"/>
          <w:sz w:val="32"/>
          <w:szCs w:val="32"/>
          <w14:textFill>
            <w14:solidFill>
              <w14:schemeClr w14:val="tx1"/>
            </w14:solidFill>
          </w14:textFill>
        </w:rPr>
        <w:t>　第十九条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上级市场监督管理部门应当对下级市场监督管理部门实施的计量标准考核工作进行监督检查，组织考核的市场监督管理部门应当对承担考评单位、考评组及计量标准考评员的考评工作实施监督，及时纠正和处理计量标准考核工作中违反规定的行为。</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w:t>
      </w:r>
      <w:r>
        <w:rPr>
          <w:rFonts w:hint="default" w:ascii="Times New Roman" w:hAnsi="Times New Roman" w:eastAsia="黑体" w:cs="Times New Roman"/>
          <w:b w:val="0"/>
          <w:bCs w:val="0"/>
          <w:color w:val="000000" w:themeColor="text1"/>
          <w:sz w:val="32"/>
          <w:szCs w:val="32"/>
          <w14:textFill>
            <w14:solidFill>
              <w14:schemeClr w14:val="tx1"/>
            </w14:solidFill>
          </w14:textFill>
        </w:rPr>
        <w:t>第二十条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申请考核单位对计量标准考核结果有异议的，应当在接到计量标准考核证书或者不予行政许可决定书后，依法向本级人民政府或者上一级市场监督管理部门申请行政复议。</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w:t>
      </w:r>
      <w:r>
        <w:rPr>
          <w:rFonts w:hint="default" w:ascii="Times New Roman" w:hAnsi="Times New Roman" w:eastAsia="黑体" w:cs="Times New Roman"/>
          <w:b w:val="0"/>
          <w:bCs w:val="0"/>
          <w:color w:val="000000" w:themeColor="text1"/>
          <w:sz w:val="32"/>
          <w:szCs w:val="32"/>
          <w14:textFill>
            <w14:solidFill>
              <w14:schemeClr w14:val="tx1"/>
            </w14:solidFill>
          </w14:textFill>
        </w:rPr>
        <w:t>　第二十一条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申请计量标准考核应当提供的技术资料、申请书及有关文件格式，计量标准考核证书和不予行政许可决定书式样，以及计量标准考核规范，由国家市场监督管理总局统一制定。</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w:t>
      </w:r>
      <w:r>
        <w:rPr>
          <w:rFonts w:hint="default" w:ascii="Times New Roman" w:hAnsi="Times New Roman" w:eastAsia="黑体" w:cs="Times New Roman"/>
          <w:b w:val="0"/>
          <w:bCs w:val="0"/>
          <w:color w:val="000000" w:themeColor="text1"/>
          <w:sz w:val="32"/>
          <w:szCs w:val="32"/>
          <w14:textFill>
            <w14:solidFill>
              <w14:schemeClr w14:val="tx1"/>
            </w14:solidFill>
          </w14:textFill>
        </w:rPr>
        <w:t xml:space="preserve">　第二十二条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本办法由国家市场监督管理总局负责解释。</w:t>
      </w:r>
    </w:p>
    <w:p>
      <w:pPr>
        <w:keepNext w:val="0"/>
        <w:keepLines w:val="0"/>
        <w:pageBreakBefore w:val="0"/>
        <w:kinsoku/>
        <w:wordWrap/>
        <w:overflowPunct/>
        <w:topLinePunct w:val="0"/>
        <w:autoSpaceDE/>
        <w:autoSpaceDN/>
        <w:bidi w:val="0"/>
        <w:adjustRightInd/>
        <w:snapToGrid/>
        <w:spacing w:line="594" w:lineRule="exact"/>
        <w:textAlignment w:val="auto"/>
        <w:rPr>
          <w:rFonts w:ascii="Times New Roman" w:hAnsi="Times New Roman"/>
          <w:b w:val="0"/>
          <w:bCs w:val="0"/>
          <w:color w:val="000000" w:themeColor="text1"/>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　　第二十三条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本办法自2005年7月1日起施行。1987年7月10日原国家计量局颁布的《计量标准考核办法》（</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87</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量局法字第231号）同时废止。</w:t>
      </w:r>
    </w:p>
    <w:sectPr>
      <w:headerReference r:id="rId4" w:type="first"/>
      <w:footerReference r:id="rId7" w:type="first"/>
      <w:footerReference r:id="rId5" w:type="default"/>
      <w:headerReference r:id="rId3" w:type="even"/>
      <w:footerReference r:id="rId6" w:type="even"/>
      <w:pgSz w:w="11906" w:h="16838"/>
      <w:pgMar w:top="1984" w:right="1474" w:bottom="1644" w:left="1474"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5NmNiYjlkNzJiZjdjNzZiODVlOTBkZmQ2M2I2OGEifQ=="/>
  </w:docVars>
  <w:rsids>
    <w:rsidRoot w:val="00172A27"/>
    <w:rsid w:val="00090A43"/>
    <w:rsid w:val="000F7C3B"/>
    <w:rsid w:val="00172A27"/>
    <w:rsid w:val="00190F0F"/>
    <w:rsid w:val="0028088F"/>
    <w:rsid w:val="00637CAC"/>
    <w:rsid w:val="006A7A45"/>
    <w:rsid w:val="00750507"/>
    <w:rsid w:val="00891FFC"/>
    <w:rsid w:val="00915729"/>
    <w:rsid w:val="00960532"/>
    <w:rsid w:val="009641A3"/>
    <w:rsid w:val="009D125D"/>
    <w:rsid w:val="00A255B3"/>
    <w:rsid w:val="00AC5533"/>
    <w:rsid w:val="00B900B7"/>
    <w:rsid w:val="00BA7A05"/>
    <w:rsid w:val="00C26E20"/>
    <w:rsid w:val="00D7266E"/>
    <w:rsid w:val="00F1250C"/>
    <w:rsid w:val="00FB339E"/>
    <w:rsid w:val="019E71BD"/>
    <w:rsid w:val="04B679C3"/>
    <w:rsid w:val="080F63D8"/>
    <w:rsid w:val="09341458"/>
    <w:rsid w:val="0AAF1847"/>
    <w:rsid w:val="0B0912D7"/>
    <w:rsid w:val="0D054785"/>
    <w:rsid w:val="1181341E"/>
    <w:rsid w:val="13423986"/>
    <w:rsid w:val="152D2DCA"/>
    <w:rsid w:val="167F4AB6"/>
    <w:rsid w:val="1847093C"/>
    <w:rsid w:val="18D72194"/>
    <w:rsid w:val="19B9331B"/>
    <w:rsid w:val="1B7543E7"/>
    <w:rsid w:val="1DEC284C"/>
    <w:rsid w:val="1E6523AC"/>
    <w:rsid w:val="1F361A96"/>
    <w:rsid w:val="1FF836E7"/>
    <w:rsid w:val="21FF061A"/>
    <w:rsid w:val="22440422"/>
    <w:rsid w:val="2431531A"/>
    <w:rsid w:val="25117842"/>
    <w:rsid w:val="258254C9"/>
    <w:rsid w:val="269C67AD"/>
    <w:rsid w:val="27FA06B1"/>
    <w:rsid w:val="29D709EB"/>
    <w:rsid w:val="31A15F24"/>
    <w:rsid w:val="33A95A17"/>
    <w:rsid w:val="395347B5"/>
    <w:rsid w:val="39A232A0"/>
    <w:rsid w:val="39BE0417"/>
    <w:rsid w:val="39E745AA"/>
    <w:rsid w:val="3B5A6BBB"/>
    <w:rsid w:val="3DA2013A"/>
    <w:rsid w:val="3E004607"/>
    <w:rsid w:val="3EDA13A6"/>
    <w:rsid w:val="42F058B7"/>
    <w:rsid w:val="436109F6"/>
    <w:rsid w:val="441A38D4"/>
    <w:rsid w:val="44A86E54"/>
    <w:rsid w:val="477D3B0A"/>
    <w:rsid w:val="49D91622"/>
    <w:rsid w:val="4B3A746D"/>
    <w:rsid w:val="4B85080B"/>
    <w:rsid w:val="4BC77339"/>
    <w:rsid w:val="4C9236C5"/>
    <w:rsid w:val="4D1912C4"/>
    <w:rsid w:val="4D31441A"/>
    <w:rsid w:val="505C172E"/>
    <w:rsid w:val="512207F0"/>
    <w:rsid w:val="52F46F0B"/>
    <w:rsid w:val="53692E31"/>
    <w:rsid w:val="538E3AFD"/>
    <w:rsid w:val="53D8014D"/>
    <w:rsid w:val="54DA09AE"/>
    <w:rsid w:val="55186E99"/>
    <w:rsid w:val="55CB762E"/>
    <w:rsid w:val="55E064E0"/>
    <w:rsid w:val="572C6D10"/>
    <w:rsid w:val="5B0F7567"/>
    <w:rsid w:val="5BE223A9"/>
    <w:rsid w:val="5DC34279"/>
    <w:rsid w:val="5DFE5C52"/>
    <w:rsid w:val="5E077A21"/>
    <w:rsid w:val="5EC12C3D"/>
    <w:rsid w:val="608816D1"/>
    <w:rsid w:val="60EF4E7F"/>
    <w:rsid w:val="636E63BF"/>
    <w:rsid w:val="63FF5EE3"/>
    <w:rsid w:val="665233C1"/>
    <w:rsid w:val="67D86D04"/>
    <w:rsid w:val="6AD9688B"/>
    <w:rsid w:val="6D0E3F22"/>
    <w:rsid w:val="6E6A06EF"/>
    <w:rsid w:val="70673123"/>
    <w:rsid w:val="70E46F2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bCs/>
    </w:rPr>
  </w:style>
  <w:style w:type="character" w:styleId="10">
    <w:name w:val="FollowedHyperlink"/>
    <w:basedOn w:val="8"/>
    <w:qFormat/>
    <w:uiPriority w:val="0"/>
    <w:rPr>
      <w:color w:val="2B84B5"/>
    </w:rPr>
  </w:style>
  <w:style w:type="character" w:styleId="11">
    <w:name w:val="Hyperlink"/>
    <w:basedOn w:val="8"/>
    <w:qFormat/>
    <w:uiPriority w:val="0"/>
    <w:rPr>
      <w:rFonts w:hint="eastAsia" w:ascii="微软雅黑" w:hAnsi="微软雅黑" w:eastAsia="微软雅黑" w:cs="微软雅黑"/>
      <w:color w:val="0000FF"/>
      <w:u w:val="none"/>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 w:type="paragraph" w:styleId="13">
    <w:name w:val="List Paragraph"/>
    <w:basedOn w:val="1"/>
    <w:unhideWhenUsed/>
    <w:qFormat/>
    <w:uiPriority w:val="99"/>
    <w:pPr>
      <w:ind w:firstLine="420" w:firstLineChars="200"/>
    </w:pPr>
  </w:style>
  <w:style w:type="character" w:customStyle="1" w:styleId="14">
    <w:name w:val="noline"/>
    <w:basedOn w:val="8"/>
    <w:qFormat/>
    <w:uiPriority w:val="0"/>
  </w:style>
  <w:style w:type="character" w:customStyle="1" w:styleId="15">
    <w:name w:val="hover54"/>
    <w:basedOn w:val="8"/>
    <w:qFormat/>
    <w:uiPriority w:val="0"/>
    <w:rPr>
      <w:color w:val="025291"/>
    </w:rPr>
  </w:style>
  <w:style w:type="character" w:customStyle="1" w:styleId="16">
    <w:name w:val="hover55"/>
    <w:basedOn w:val="8"/>
    <w:qFormat/>
    <w:uiPriority w:val="0"/>
    <w:rPr>
      <w:color w:val="2B84B5"/>
    </w:rPr>
  </w:style>
  <w:style w:type="character" w:customStyle="1" w:styleId="17">
    <w:name w:val="hover56"/>
    <w:basedOn w:val="8"/>
    <w:qFormat/>
    <w:uiPriority w:val="0"/>
    <w:rPr>
      <w:color w:val="D52222"/>
    </w:rPr>
  </w:style>
  <w:style w:type="character" w:customStyle="1" w:styleId="18">
    <w:name w:val="place"/>
    <w:basedOn w:val="8"/>
    <w:qFormat/>
    <w:uiPriority w:val="0"/>
  </w:style>
  <w:style w:type="character" w:customStyle="1" w:styleId="19">
    <w:name w:val="place1"/>
    <w:basedOn w:val="8"/>
    <w:qFormat/>
    <w:uiPriority w:val="0"/>
    <w:rPr>
      <w:rFonts w:ascii="微软雅黑" w:hAnsi="微软雅黑" w:eastAsia="微软雅黑" w:cs="微软雅黑"/>
      <w:color w:val="888888"/>
      <w:sz w:val="25"/>
      <w:szCs w:val="25"/>
    </w:rPr>
  </w:style>
  <w:style w:type="character" w:customStyle="1" w:styleId="20">
    <w:name w:val="place2"/>
    <w:basedOn w:val="8"/>
    <w:qFormat/>
    <w:uiPriority w:val="0"/>
  </w:style>
  <w:style w:type="character" w:customStyle="1" w:styleId="21">
    <w:name w:val="place3"/>
    <w:basedOn w:val="8"/>
    <w:qFormat/>
    <w:uiPriority w:val="0"/>
  </w:style>
  <w:style w:type="character" w:customStyle="1" w:styleId="22">
    <w:name w:val="file"/>
    <w:basedOn w:val="8"/>
    <w:qFormat/>
    <w:uiPriority w:val="0"/>
    <w:rPr>
      <w:color w:val="4D4D4D"/>
      <w:sz w:val="21"/>
      <w:szCs w:val="21"/>
    </w:rPr>
  </w:style>
  <w:style w:type="character" w:customStyle="1" w:styleId="23">
    <w:name w:val="folder"/>
    <w:basedOn w:val="8"/>
    <w:qFormat/>
    <w:uiPriority w:val="0"/>
  </w:style>
  <w:style w:type="character" w:customStyle="1" w:styleId="24">
    <w:name w:val="folder1"/>
    <w:basedOn w:val="8"/>
    <w:qFormat/>
    <w:uiPriority w:val="0"/>
    <w:rPr>
      <w:color w:val="4D4D4D"/>
      <w:sz w:val="21"/>
      <w:szCs w:val="21"/>
    </w:rPr>
  </w:style>
  <w:style w:type="paragraph" w:customStyle="1" w:styleId="25">
    <w:name w:val="正文样式1"/>
    <w:basedOn w:val="1"/>
    <w:qFormat/>
    <w:uiPriority w:val="0"/>
    <w:pPr>
      <w:spacing w:after="0" w:afterLines="0" w:line="580" w:lineRule="exact"/>
      <w:ind w:firstLine="560" w:firstLineChars="200"/>
      <w:jc w:val="both"/>
    </w:pPr>
    <w:rPr>
      <w:rFonts w:ascii="方正仿宋简体" w:hAnsi="宋体" w:eastAsia="方正仿宋简体" w:cs="宋体"/>
      <w:sz w:val="28"/>
      <w:szCs w:val="28"/>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7</Pages>
  <Words>3069</Words>
  <Characters>3102</Characters>
  <Lines>63</Lines>
  <Paragraphs>17</Paragraphs>
  <TotalTime>1</TotalTime>
  <ScaleCrop>false</ScaleCrop>
  <LinksUpToDate>false</LinksUpToDate>
  <CharactersWithSpaces>3232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cp:lastModifiedBy>
  <cp:lastPrinted>2021-10-26T03:30:00Z</cp:lastPrinted>
  <dcterms:modified xsi:type="dcterms:W3CDTF">2022-09-17T14:59:00Z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CE76CDE6E2E7471089FEBF07417391DA</vt:lpwstr>
  </property>
</Properties>
</file>