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8"/>
        <w:framePr w:wrap="around"/>
      </w:pPr>
      <w:r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0"/>
    </w:p>
    <w:p>
      <w:pPr>
        <w:pStyle w:val="118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8"/>
              <w:framePr w:wrap="around"/>
            </w:pPr>
            <w:r>
              <w:pict>
                <v:rect id="BAH" o:spid="_x0000_s1039" o:spt="1" style="position:absolute;left:0pt;margin-left:-5.25pt;margin-top:0pt;height:15.6pt;width:68.25pt;z-index:-251652096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04"/>
        <w:framePr w:wrap="around"/>
      </w:pPr>
      <w:r>
        <w:t>DB</w:t>
      </w:r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bookmarkStart w:id="3" w:name="c3"/>
      <w:r>
        <w:instrText xml:space="preserve"> FORMTEXT </w:instrText>
      </w:r>
      <w:r>
        <w:fldChar w:fldCharType="separate"/>
      </w:r>
      <w:r>
        <w:t>  </w:t>
      </w:r>
      <w:r>
        <w:fldChar w:fldCharType="end"/>
      </w:r>
      <w:bookmarkEnd w:id="3"/>
    </w:p>
    <w:p>
      <w:pPr>
        <w:pStyle w:val="105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bookmarkStart w:id="4" w:name="c4"/>
      <w:r>
        <w:instrText xml:space="preserve"> FORMTEXT </w:instrText>
      </w:r>
      <w:r>
        <w:fldChar w:fldCharType="separate"/>
      </w:r>
      <w:r>
        <w:rPr>
          <w:rFonts w:hint="eastAsia"/>
        </w:rPr>
        <w:t>新乡市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42"/>
        <w:framePr w:wrap="around"/>
        <w:rPr>
          <w:rFonts w:hAnsi="黑体"/>
        </w:rPr>
      </w:pPr>
      <w:r>
        <w:rPr>
          <w:rFonts w:ascii="Times New Roman"/>
        </w:rPr>
        <w:t xml:space="preserve">DB </w:t>
      </w:r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1"/>
              <w:framePr w:wrap="around"/>
            </w:pPr>
            <w:r>
              <w:pict>
                <v:rect id="DT" o:spid="_x0000_s1036" o:spt="1" style="position:absolute;left:0pt;margin-left:372.8pt;margin-top:2.7pt;height:18pt;width:9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8" w:name="DT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42"/>
        <w:framePr w:wrap="around"/>
        <w:rPr>
          <w:rFonts w:hAnsi="黑体"/>
        </w:rPr>
      </w:pPr>
    </w:p>
    <w:p>
      <w:pPr>
        <w:pStyle w:val="42"/>
        <w:framePr w:wrap="around"/>
        <w:rPr>
          <w:rFonts w:hAnsi="黑体"/>
        </w:rPr>
      </w:pPr>
    </w:p>
    <w:p>
      <w:pPr>
        <w:pStyle w:val="73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新乡烹饪技艺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红焖羊肉</w:t>
      </w:r>
      <w:r>
        <w:fldChar w:fldCharType="end"/>
      </w:r>
      <w:bookmarkEnd w:id="9"/>
    </w:p>
    <w:p>
      <w:pPr>
        <w:pStyle w:val="74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0" w:name="StdEnglishName"/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点击此处添加标准英文译名</w:t>
      </w:r>
      <w:r>
        <w:fldChar w:fldCharType="end"/>
      </w:r>
      <w:bookmarkEnd w:id="10"/>
    </w:p>
    <w:p>
      <w:pPr>
        <w:pStyle w:val="75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6"/>
              <w:framePr w:wrap="around"/>
            </w:pPr>
            <w:r>
              <w:pict>
                <v:rect id="RQ" o:spid="_x0000_s1038" o:spt="1" style="position:absolute;left:0pt;margin-left:173.3pt;margin-top:45.15pt;height:20pt;width:150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37" o:spt="1" style="position:absolute;left:0pt;margin-left:193.3pt;margin-top:20.15pt;height:24pt;width:10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>
      <w:pPr>
        <w:pStyle w:val="125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bookmarkStart w:id="14" w:name="F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5" w:name="F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w:pict>
          <v:line id="_x0000_s1034" o:spid="_x0000_s1034" o:spt="20" style="position:absolute;left:0pt;margin-left:-0.05pt;margin-top:728.5pt;height:0pt;width:481.9pt;mso-position-vertic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6"/>
        <w:framePr w:wrap="around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6" w:name="S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7" w:name="S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8" w:name="S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106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>
        <w:instrText xml:space="preserve"> FORMTEXT </w:instrText>
      </w:r>
      <w:r>
        <w:fldChar w:fldCharType="separate"/>
      </w:r>
      <w:r>
        <w:rPr>
          <w:rFonts w:hint="eastAsia"/>
        </w:rPr>
        <w:t>新乡市市场监督管理局</w:t>
      </w:r>
      <w:r>
        <w:fldChar w:fldCharType="end"/>
      </w:r>
      <w:bookmarkEnd w:id="19"/>
      <w:r>
        <w:rPr>
          <w:rFonts w:hAnsi="黑体"/>
        </w:rPr>
        <w:t>   </w:t>
      </w:r>
      <w:r>
        <w:rPr>
          <w:rStyle w:val="68"/>
          <w:rFonts w:hint="eastAsia"/>
        </w:rPr>
        <w:t>发布</w:t>
      </w:r>
    </w:p>
    <w:p>
      <w:pPr>
        <w:pStyle w:val="20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35" o:spid="_x0000_s1035" o:spt="20" style="position:absolute;left:0pt;margin-left:-0.05pt;margin-top:184.25pt;height:0pt;width:481.9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7"/>
        <w:rPr>
          <w:rFonts w:hint="eastAsia"/>
        </w:rPr>
      </w:pPr>
      <w:r>
        <w:rPr>
          <w:rFonts w:hint="eastAsia"/>
        </w:rPr>
        <w:t>前</w:t>
      </w:r>
      <w:bookmarkStart w:id="2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0"/>
    </w:p>
    <w:p>
      <w:pPr>
        <w:pStyle w:val="20"/>
        <w:rPr>
          <w:rFonts w:hint="eastAsia"/>
        </w:rPr>
      </w:pPr>
      <w:r>
        <w:rPr>
          <w:rFonts w:hint="eastAsia"/>
        </w:rPr>
        <w:t>本标准的编制依据GB/T 1.1-2020的规定。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本标准由新乡市</w:t>
      </w:r>
      <w:r>
        <w:rPr>
          <w:rFonts w:hint="eastAsia"/>
          <w:lang w:eastAsia="zh-CN"/>
        </w:rPr>
        <w:t>商务局</w:t>
      </w:r>
      <w:r>
        <w:rPr>
          <w:rFonts w:hint="eastAsia"/>
        </w:rPr>
        <w:t>提出。</w:t>
      </w:r>
    </w:p>
    <w:p>
      <w:pPr>
        <w:pStyle w:val="20"/>
        <w:rPr>
          <w:rFonts w:hint="default" w:eastAsia="宋体"/>
          <w:lang w:val="en-US" w:eastAsia="zh-CN"/>
        </w:rPr>
      </w:pPr>
      <w:r>
        <w:rPr>
          <w:rFonts w:hint="eastAsia"/>
        </w:rPr>
        <w:t>本标准主要起草单位：新乡市食品药品检验所、河南科技学院</w:t>
      </w:r>
      <w:r>
        <w:rPr>
          <w:rFonts w:hint="eastAsia"/>
          <w:lang w:eastAsia="zh-CN"/>
        </w:rPr>
        <w:t>、原阳县公共检验检测中心、新乡市雨轩清真食品股份有限公司、</w:t>
      </w:r>
      <w:r>
        <w:rPr>
          <w:rFonts w:hint="eastAsia"/>
        </w:rPr>
        <w:t>新乡市餐饮行业协会、新乡市常来顺</w:t>
      </w:r>
      <w:r>
        <w:rPr>
          <w:rFonts w:hint="eastAsia"/>
          <w:lang w:eastAsia="zh-CN"/>
        </w:rPr>
        <w:t>饭店</w:t>
      </w:r>
      <w:r>
        <w:rPr>
          <w:rFonts w:hint="eastAsia"/>
        </w:rPr>
        <w:t>、</w:t>
      </w:r>
      <w:r>
        <w:rPr>
          <w:rFonts w:hint="eastAsia"/>
          <w:lang w:eastAsia="zh-CN"/>
        </w:rPr>
        <w:t>新乡市老城红焖羊肉馆、新乡市农业农村局。</w:t>
      </w:r>
    </w:p>
    <w:p>
      <w:pPr>
        <w:pStyle w:val="20"/>
        <w:rPr>
          <w:rFonts w:hint="eastAsia" w:eastAsia="宋体"/>
          <w:lang w:eastAsia="zh-CN"/>
        </w:rPr>
      </w:pPr>
      <w:r>
        <w:rPr>
          <w:rFonts w:hint="eastAsia"/>
        </w:rPr>
        <w:t>本标准主要起草人：崔薇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南海娟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赵佳丽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王健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马玉永</w:t>
      </w:r>
      <w:r>
        <w:rPr>
          <w:rFonts w:hint="eastAsia"/>
          <w:lang w:eastAsia="zh-CN"/>
        </w:rPr>
        <w:t>、吴巧亚、</w:t>
      </w:r>
      <w:r>
        <w:rPr>
          <w:rFonts w:hint="eastAsia"/>
        </w:rPr>
        <w:t>冯杰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秦柯</w:t>
      </w:r>
      <w:r>
        <w:rPr>
          <w:rFonts w:hint="eastAsia"/>
          <w:lang w:eastAsia="zh-CN"/>
        </w:rPr>
        <w:t>、</w:t>
      </w:r>
      <w:r>
        <w:rPr>
          <w:rFonts w:hint="eastAsia"/>
        </w:rPr>
        <w:t>解玉环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李晨洋</w:t>
      </w:r>
      <w:r>
        <w:rPr>
          <w:rFonts w:hint="eastAsia"/>
          <w:lang w:eastAsia="zh-CN"/>
        </w:rPr>
        <w:t>、王新民、齐阁。</w:t>
      </w:r>
    </w:p>
    <w:p>
      <w:pPr>
        <w:pStyle w:val="20"/>
        <w:rPr>
          <w:rFonts w:hint="eastAsia" w:eastAsia="宋体"/>
          <w:lang w:eastAsia="zh-CN"/>
        </w:rPr>
      </w:pPr>
    </w:p>
    <w:p>
      <w:pPr>
        <w:pStyle w:val="107"/>
        <w:rPr>
          <w:rFonts w:hint="eastAsia"/>
        </w:rPr>
      </w:pPr>
      <w:r>
        <w:rPr>
          <w:rFonts w:hint="eastAsia"/>
        </w:rPr>
        <w:t>引</w:t>
      </w:r>
      <w:bookmarkStart w:id="21" w:name="BKYY"/>
      <w:r>
        <w:rPr>
          <w:rFonts w:hAnsi="黑体"/>
        </w:rPr>
        <w:t>  </w:t>
      </w:r>
      <w:r>
        <w:rPr>
          <w:rFonts w:hint="eastAsia"/>
        </w:rPr>
        <w:t>言</w:t>
      </w:r>
      <w:bookmarkEnd w:id="21"/>
    </w:p>
    <w:p>
      <w:pPr>
        <w:pStyle w:val="20"/>
        <w:rPr>
          <w:rFonts w:hint="eastAsia"/>
        </w:rPr>
      </w:pPr>
      <w:r>
        <w:rPr>
          <w:rFonts w:hint="eastAsia"/>
        </w:rPr>
        <w:t xml:space="preserve">新乡地处中原腹地，自古是商旅通往京城的必经之路，四通八达的交通造就了新乡海纳百川的饮食文化。在继承豫菜的煎、炸、熘、扒、烧、烤、蒸、炒、煮、烩、贴、爆等技艺的同时，新乡也在吸收各地的饮食特色，不断地融合、创新、发展，渐渐形成了独有的饮食特色和文化。烹饪上，选料严谨、制汤讲究、刀工精湛、技法多变、烹必适度、调必匀和；菜点上，突出鲜香清淡、滑嫩爽脆、色形典雅、质味适中、原汁原味。这其中的菜肴——红焖羊肉，由李武卿先生于1988年首创，一经推出，便以肉嫩、味鲜、汤醇等特色备受广大食客的青睐和喜爱，成为闻名遐迩的一道豫菜新品。在2001年全省首届豫菜大赛中荣获特别金奖，是新乡市的一张美食名片。  </w:t>
      </w:r>
    </w:p>
    <w:p>
      <w:pPr>
        <w:pStyle w:val="20"/>
        <w:rPr>
          <w:rFonts w:hint="eastAsia"/>
        </w:rPr>
      </w:pPr>
      <w:r>
        <w:rPr>
          <w:rFonts w:hint="eastAsia"/>
        </w:rPr>
        <w:t>为了保护和传承新乡红焖羊肉烹饪技艺，保持其特色风味，经报请新乡市市场监督管理局同意，由新乡市商务局</w:t>
      </w:r>
      <w:r>
        <w:rPr>
          <w:rFonts w:hint="eastAsia"/>
          <w:lang w:eastAsia="zh-CN"/>
        </w:rPr>
        <w:t>提出，</w:t>
      </w:r>
      <w:r>
        <w:rPr>
          <w:rFonts w:hint="eastAsia"/>
        </w:rPr>
        <w:t>新乡市食品药品检验所正式立项，</w:t>
      </w:r>
      <w:r>
        <w:rPr>
          <w:rFonts w:hint="eastAsia"/>
          <w:lang w:eastAsia="zh-CN"/>
        </w:rPr>
        <w:t>在</w:t>
      </w:r>
      <w:bookmarkStart w:id="23" w:name="_GoBack"/>
      <w:bookmarkEnd w:id="23"/>
      <w:r>
        <w:rPr>
          <w:rFonts w:hint="eastAsia"/>
        </w:rPr>
        <w:t>新乡市餐饮行业协会帮助下，新乡市食品药品检验所、河南科技学院</w:t>
      </w:r>
      <w:r>
        <w:rPr>
          <w:rFonts w:hint="eastAsia"/>
          <w:lang w:eastAsia="zh-CN"/>
        </w:rPr>
        <w:t>、新乡市雨轩清真食品股份有限公司</w:t>
      </w:r>
      <w:r>
        <w:rPr>
          <w:rFonts w:hint="eastAsia"/>
        </w:rPr>
        <w:t>及新乡部分餐饮企业共同制定了本标准。</w:t>
      </w:r>
    </w:p>
    <w:p>
      <w:pPr>
        <w:pStyle w:val="20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5"/>
        <w:rPr>
          <w:rFonts w:hint="eastAsia"/>
        </w:rPr>
      </w:pPr>
      <w:r>
        <w:rPr>
          <w:rFonts w:hint="eastAsia" w:ascii="宋体" w:hAnsi="宋体"/>
          <w:szCs w:val="21"/>
        </w:rPr>
        <w:t>新乡烹饪技艺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/>
        </w:rPr>
        <w:t>红</w:t>
      </w:r>
      <w:bookmarkStart w:id="22" w:name="StandardName"/>
      <w:r>
        <w:rPr>
          <w:rFonts w:hint="eastAsia"/>
        </w:rPr>
        <w:t>焖羊肉</w:t>
      </w:r>
      <w:bookmarkEnd w:id="22"/>
    </w:p>
    <w:p>
      <w:pPr>
        <w:pStyle w:val="40"/>
        <w:rPr>
          <w:rFonts w:hint="eastAsia"/>
        </w:rPr>
      </w:pPr>
      <w:r>
        <w:rPr>
          <w:rFonts w:hint="eastAsia"/>
        </w:rPr>
        <w:t>范围</w:t>
      </w:r>
    </w:p>
    <w:p>
      <w:pPr>
        <w:autoSpaceDE w:val="0"/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w:t xml:space="preserve">  </w:t>
      </w:r>
      <w:r>
        <w:rPr>
          <w:rFonts w:hint="eastAsia" w:ascii="宋体" w:hAnsi="宋体"/>
          <w:szCs w:val="21"/>
        </w:rPr>
        <w:t>本标准规定了新乡烹饪技艺红焖羊肉的术语和定义、要求、烹饪器具、制作工艺、装盘和质量要求等内容。</w:t>
      </w:r>
    </w:p>
    <w:p>
      <w:pPr>
        <w:autoSpaceDE w:val="0"/>
        <w:ind w:firstLine="420" w:firstLineChars="200"/>
        <w:rPr>
          <w:rFonts w:hint="eastAsia" w:ascii="黑体" w:hAnsi="黑体" w:eastAsia="黑体"/>
          <w:szCs w:val="21"/>
        </w:rPr>
      </w:pPr>
      <w:r>
        <w:rPr>
          <w:rFonts w:hint="eastAsia" w:ascii="宋体" w:hAnsi="宋体"/>
          <w:szCs w:val="21"/>
        </w:rPr>
        <w:t>本标准适用于新乡烹饪技艺红焖羊肉。</w:t>
      </w:r>
    </w:p>
    <w:p>
      <w:pPr>
        <w:pStyle w:val="40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2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GB/T 1534 花生油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GB/T 5461 食用盐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GB/T 35883 冰糖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GB/T 18186 酿造酱油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SB/T 10416 调味料酒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GB/T 8967 谷氨酸钠（味精）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GB/T20560 地理标志产品 郫县豆瓣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 5749 饮用水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GB/T 30383 生姜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NY/T 744 绿色食品 葱蒜类蔬菜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 2707 食品安全国家标准 鲜（冻）畜、禽产品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餐饮服务食品安全操作规范.国家市场监管总局2018年第12号公告</w:t>
      </w:r>
    </w:p>
    <w:p>
      <w:pPr>
        <w:pStyle w:val="40"/>
        <w:rPr>
          <w:rFonts w:hint="eastAsia"/>
        </w:rPr>
      </w:pPr>
      <w:r>
        <w:rPr>
          <w:rFonts w:hint="eastAsia"/>
        </w:rPr>
        <w:t>术语和定义</w:t>
      </w:r>
    </w:p>
    <w:p>
      <w:pPr>
        <w:autoSpaceDE w:val="0"/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下列术语和定义用于本文件。</w:t>
      </w:r>
    </w:p>
    <w:p>
      <w:pPr>
        <w:autoSpaceDE w:val="0"/>
        <w:spacing w:beforeLines="50" w:afterLines="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24"/>
        </w:rPr>
        <w:t xml:space="preserve">3.1 </w:t>
      </w:r>
      <w:r>
        <w:rPr>
          <w:rFonts w:hint="eastAsia" w:ascii="黑体" w:hAnsi="黑体" w:eastAsia="黑体"/>
          <w:szCs w:val="21"/>
        </w:rPr>
        <w:t>红焖羊肉</w:t>
      </w:r>
    </w:p>
    <w:p>
      <w:pPr>
        <w:autoSpaceDE w:val="0"/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将鲜羊肉，经猛火炒断生，加入调味品和沸水等，大火炖、文火焖制成红焖羊肉的烹饪方法。</w:t>
      </w:r>
    </w:p>
    <w:p>
      <w:pPr>
        <w:pStyle w:val="40"/>
        <w:rPr>
          <w:rFonts w:hint="eastAsia"/>
        </w:rPr>
      </w:pPr>
      <w:r>
        <w:rPr>
          <w:rFonts w:hint="eastAsia"/>
        </w:rPr>
        <w:t>要求</w:t>
      </w:r>
    </w:p>
    <w:p>
      <w:pPr>
        <w:pStyle w:val="37"/>
        <w:rPr>
          <w:rFonts w:hint="eastAsia"/>
        </w:rPr>
      </w:pPr>
      <w:r>
        <w:rPr>
          <w:rFonts w:hint="eastAsia"/>
        </w:rPr>
        <w:t>原辅料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鲜羊肉。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花生油，食用盐，冰糖，酿造酱油，调味料酒，白酒，味精，葱，姜，郫县豆瓣，饮用水。</w:t>
      </w:r>
    </w:p>
    <w:p>
      <w:pPr>
        <w:pStyle w:val="37"/>
        <w:rPr>
          <w:rFonts w:hint="eastAsia"/>
        </w:rPr>
      </w:pPr>
      <w:r>
        <w:rPr>
          <w:rFonts w:hint="eastAsia"/>
        </w:rPr>
        <w:t>质量要求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宜选用新鲜带骨羊肉，并符合GB 2707的规定。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花生油、食用盐、冰糖、酿造酱油、调味料酒、白酒、味精、葱、姜、郫县豆瓣、饮用水应分别符合GB/T 1534、GB/T 5461、GB/T 35883、GB/T 18186、SB/T 10416、</w:t>
      </w:r>
      <w:r>
        <w:rPr>
          <w:rFonts w:ascii="宋体" w:hAnsi="宋体" w:eastAsia="宋体"/>
        </w:rPr>
        <w:t>GB/T 26760</w:t>
      </w:r>
      <w:r>
        <w:rPr>
          <w:rFonts w:hint="eastAsia" w:ascii="宋体" w:hAnsi="宋体" w:eastAsia="宋体"/>
        </w:rPr>
        <w:t>、GB/T 8967、NY/T 744、GB/T 30383、GB/T 20560、GB 5749的规定。</w:t>
      </w:r>
    </w:p>
    <w:p>
      <w:pPr>
        <w:pStyle w:val="40"/>
        <w:rPr>
          <w:rFonts w:hint="eastAsia"/>
        </w:rPr>
      </w:pPr>
      <w:r>
        <w:rPr>
          <w:rFonts w:hint="eastAsia"/>
        </w:rPr>
        <w:t>烹饪器具</w:t>
      </w:r>
    </w:p>
    <w:p>
      <w:pPr>
        <w:pStyle w:val="37"/>
        <w:rPr>
          <w:rFonts w:hint="eastAsia"/>
        </w:rPr>
      </w:pPr>
      <w:r>
        <w:rPr>
          <w:rFonts w:hint="eastAsia"/>
        </w:rPr>
        <w:t>炊具</w:t>
      </w:r>
    </w:p>
    <w:p>
      <w:pPr>
        <w:autoSpaceDE w:val="0"/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宜选用炒勺和带盖炒锅。</w:t>
      </w:r>
    </w:p>
    <w:p>
      <w:pPr>
        <w:pStyle w:val="37"/>
        <w:rPr>
          <w:rFonts w:hint="eastAsia"/>
        </w:rPr>
      </w:pPr>
      <w:r>
        <w:rPr>
          <w:rFonts w:hint="eastAsia"/>
        </w:rPr>
        <w:t>盛器</w:t>
      </w:r>
    </w:p>
    <w:p>
      <w:pPr>
        <w:autoSpaceDE w:val="0"/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铜锅或砂锅。</w:t>
      </w:r>
    </w:p>
    <w:p>
      <w:pPr>
        <w:pStyle w:val="40"/>
        <w:rPr>
          <w:rFonts w:hint="eastAsia"/>
        </w:rPr>
      </w:pPr>
      <w:r>
        <w:rPr>
          <w:rFonts w:hint="eastAsia"/>
        </w:rPr>
        <w:t>制作工艺</w:t>
      </w:r>
    </w:p>
    <w:p>
      <w:pPr>
        <w:autoSpaceDE w:val="0"/>
        <w:spacing w:beforeLines="50" w:afterLines="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6.1 前处理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鲜羊肉洗净，改刀成5 cm见方的块，用冷水浸泡1 h以上，清洗干净、控干水分，备用。 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葱切段，姜切片。</w:t>
      </w:r>
    </w:p>
    <w:p>
      <w:pPr>
        <w:pStyle w:val="37"/>
        <w:rPr>
          <w:rFonts w:hint="eastAsia"/>
        </w:rPr>
      </w:pPr>
      <w:r>
        <w:rPr>
          <w:rFonts w:hint="eastAsia"/>
        </w:rPr>
        <w:t>烹调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生炒。炒锅置火上，放油、冰糖炒出焦糖色，将羊肉块倒入锅中，大火爆炒至上色。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大炖。放入调料袋、倒入料酒，待羊肉收缩，下姜、葱，加入沸水（水要没过羊肉），大火炖15 min。</w:t>
      </w:r>
    </w:p>
    <w:p>
      <w:pPr>
        <w:pStyle w:val="41"/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文焖。加入食用盐，转文火焖至羊肉酥烂时揭开锅盖，拣出调料袋、姜、葱不用，调入味精。</w:t>
      </w:r>
    </w:p>
    <w:p>
      <w:pPr>
        <w:pStyle w:val="40"/>
        <w:rPr>
          <w:rFonts w:hint="eastAsia"/>
        </w:rPr>
      </w:pPr>
      <w:r>
        <w:rPr>
          <w:rFonts w:hint="eastAsia"/>
        </w:rPr>
        <w:t>盛装</w:t>
      </w:r>
    </w:p>
    <w:p>
      <w:pPr>
        <w:autoSpaceDE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将焖好的羊肉盛装进铜锅或砂锅，以火锅煲汤的形式，辅以各种荤素食材上桌。宜先食用羊肉，再用锅内的原汁涮烫各种荤素食材。</w:t>
      </w:r>
    </w:p>
    <w:p>
      <w:pPr>
        <w:pStyle w:val="40"/>
        <w:rPr>
          <w:rFonts w:hint="eastAsia"/>
        </w:rPr>
      </w:pPr>
      <w:r>
        <w:rPr>
          <w:rFonts w:hint="eastAsia"/>
        </w:rPr>
        <w:t>质量要求</w:t>
      </w:r>
    </w:p>
    <w:p>
      <w:pPr>
        <w:pStyle w:val="37"/>
        <w:rPr>
          <w:rFonts w:hint="eastAsia"/>
        </w:rPr>
      </w:pPr>
      <w:r>
        <w:rPr>
          <w:rFonts w:hint="eastAsia"/>
        </w:rPr>
        <w:t>感官要求</w:t>
      </w:r>
    </w:p>
    <w:p>
      <w:pPr>
        <w:autoSpaceDE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色泽金红，香气浓郁，块形均匀，质感软嫩。</w:t>
      </w:r>
    </w:p>
    <w:p>
      <w:pPr>
        <w:pStyle w:val="37"/>
        <w:rPr>
          <w:rFonts w:hint="eastAsia"/>
        </w:rPr>
      </w:pPr>
      <w:r>
        <w:rPr>
          <w:rFonts w:hint="eastAsia"/>
        </w:rPr>
        <w:t>卫生要求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菜品应新鲜，无异物、杂质、异味。</w:t>
      </w:r>
    </w:p>
    <w:p>
      <w:pPr>
        <w:pStyle w:val="41"/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制作过程应符合《餐饮服务食品安全操作规范》的规定。</w:t>
      </w:r>
    </w:p>
    <w:p>
      <w:pPr>
        <w:pStyle w:val="124"/>
        <w:framePr w:wrap="around"/>
        <w:rPr>
          <w:rFonts w:hint="eastAsia"/>
        </w:rPr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t>DBXX/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6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3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49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6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100000" w:hash="8+Y7YLG4xsivprVHt8gem+G7HMw=" w:salt="Yk41HF17RMcL/iVMmDlZL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iZjhjNTI5NjE5MmNjZWM1ZTViMGQ2YTE4NGE1NDUifQ=="/>
  </w:docVars>
  <w:rsids>
    <w:rsidRoot w:val="00035925"/>
    <w:rsid w:val="00000244"/>
    <w:rsid w:val="0000185F"/>
    <w:rsid w:val="0000586F"/>
    <w:rsid w:val="00010401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0F21F0"/>
    <w:rsid w:val="001056DE"/>
    <w:rsid w:val="001124C0"/>
    <w:rsid w:val="0013175F"/>
    <w:rsid w:val="001512B4"/>
    <w:rsid w:val="001620A5"/>
    <w:rsid w:val="00164E53"/>
    <w:rsid w:val="0016699D"/>
    <w:rsid w:val="00167CF5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06B64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1A7E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5682D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A3CBE"/>
    <w:rsid w:val="007B1625"/>
    <w:rsid w:val="007B1ED1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57927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0B0A"/>
    <w:rsid w:val="009B2ADB"/>
    <w:rsid w:val="009B603A"/>
    <w:rsid w:val="009C2D0E"/>
    <w:rsid w:val="009C3DAC"/>
    <w:rsid w:val="009C42E0"/>
    <w:rsid w:val="009C5E6F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D6CDF"/>
    <w:rsid w:val="00AE2914"/>
    <w:rsid w:val="00AE6D15"/>
    <w:rsid w:val="00AF29FC"/>
    <w:rsid w:val="00AF67CB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805AF"/>
    <w:rsid w:val="00B8202C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5FB"/>
    <w:rsid w:val="00C66970"/>
    <w:rsid w:val="00C8691C"/>
    <w:rsid w:val="00CA168A"/>
    <w:rsid w:val="00CA357E"/>
    <w:rsid w:val="00CA44F9"/>
    <w:rsid w:val="00CA4A69"/>
    <w:rsid w:val="00CB39E8"/>
    <w:rsid w:val="00CC3E0C"/>
    <w:rsid w:val="00CC58D3"/>
    <w:rsid w:val="00CC784D"/>
    <w:rsid w:val="00CE55EF"/>
    <w:rsid w:val="00CF31E5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1C4D"/>
    <w:rsid w:val="00F92FD9"/>
    <w:rsid w:val="00FA06B0"/>
    <w:rsid w:val="00FA6684"/>
    <w:rsid w:val="00FA731E"/>
    <w:rsid w:val="00FB2B38"/>
    <w:rsid w:val="00FC6358"/>
    <w:rsid w:val="00FD320D"/>
    <w:rsid w:val="00FE23DE"/>
    <w:rsid w:val="5F7F0853"/>
    <w:rsid w:val="5FB7BF53"/>
    <w:rsid w:val="5FD612BF"/>
    <w:rsid w:val="7A2B6B57"/>
    <w:rsid w:val="EEFDE054"/>
    <w:rsid w:val="FFD72BC2"/>
    <w:rsid w:val="FFFF75B1"/>
    <w:rsid w:val="FFFF8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qFormat/>
    <w:uiPriority w:val="0"/>
    <w:rPr>
      <w:vertAlign w:val="superscript"/>
    </w:rPr>
  </w:style>
  <w:style w:type="character" w:styleId="32">
    <w:name w:val="page number"/>
    <w:basedOn w:val="30"/>
    <w:qFormat/>
    <w:uiPriority w:val="0"/>
    <w:rPr>
      <w:rFonts w:ascii="Times New Roman" w:hAnsi="Times New Roman" w:eastAsia="宋体"/>
      <w:sz w:val="18"/>
    </w:rPr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Hyperlink"/>
    <w:basedOn w:val="30"/>
    <w:qFormat/>
    <w:uiPriority w:val="0"/>
    <w:rPr>
      <w:color w:val="0000FF"/>
      <w:spacing w:val="0"/>
      <w:w w:val="100"/>
      <w:szCs w:val="21"/>
      <w:u w:val="single"/>
    </w:rPr>
  </w:style>
  <w:style w:type="character" w:styleId="35">
    <w:name w:val="footnote reference"/>
    <w:basedOn w:val="30"/>
    <w:semiHidden/>
    <w:qFormat/>
    <w:uiPriority w:val="0"/>
    <w:rPr>
      <w:vertAlign w:val="superscript"/>
    </w:rPr>
  </w:style>
  <w:style w:type="character" w:customStyle="1" w:styleId="36">
    <w:name w:val="段 Char"/>
    <w:basedOn w:val="30"/>
    <w:link w:val="20"/>
    <w:qFormat/>
    <w:uiPriority w:val="0"/>
    <w:rPr>
      <w:rFonts w:ascii="宋体"/>
      <w:sz w:val="21"/>
      <w:lang w:val="en-US" w:eastAsia="zh-CN" w:bidi="ar-SA"/>
    </w:rPr>
  </w:style>
  <w:style w:type="paragraph" w:customStyle="1" w:styleId="37">
    <w:name w:val="一级条标题"/>
    <w:next w:val="20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章标题"/>
    <w:next w:val="20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二级条标题"/>
    <w:basedOn w:val="37"/>
    <w:next w:val="2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3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目次、标准名称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6">
    <w:name w:val="三级条标题"/>
    <w:basedOn w:val="41"/>
    <w:next w:val="20"/>
    <w:qFormat/>
    <w:uiPriority w:val="0"/>
    <w:pPr>
      <w:numPr>
        <w:ilvl w:val="3"/>
      </w:numPr>
      <w:outlineLvl w:val="4"/>
    </w:pPr>
  </w:style>
  <w:style w:type="paragraph" w:customStyle="1" w:styleId="47">
    <w:name w:val="示例"/>
    <w:next w:val="48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四级条标题"/>
    <w:basedOn w:val="46"/>
    <w:next w:val="20"/>
    <w:qFormat/>
    <w:uiPriority w:val="0"/>
    <w:pPr>
      <w:numPr>
        <w:ilvl w:val="4"/>
      </w:numPr>
      <w:outlineLvl w:val="5"/>
    </w:pPr>
  </w:style>
  <w:style w:type="paragraph" w:customStyle="1" w:styleId="51">
    <w:name w:val="五级条标题"/>
    <w:basedOn w:val="50"/>
    <w:next w:val="20"/>
    <w:qFormat/>
    <w:uiPriority w:val="0"/>
    <w:pPr>
      <w:numPr>
        <w:ilvl w:val="5"/>
      </w:numPr>
      <w:outlineLvl w:val="6"/>
    </w:pPr>
  </w:style>
  <w:style w:type="paragraph" w:customStyle="1" w:styleId="52">
    <w:name w:val="注："/>
    <w:next w:val="20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6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示例×："/>
    <w:basedOn w:val="40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8">
    <w:name w:val="二级无"/>
    <w:basedOn w:val="4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59">
    <w:name w:val="注：（正文）"/>
    <w:basedOn w:val="52"/>
    <w:next w:val="20"/>
    <w:qFormat/>
    <w:uiPriority w:val="0"/>
  </w:style>
  <w:style w:type="paragraph" w:customStyle="1" w:styleId="60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标准书眉_偶数页"/>
    <w:basedOn w:val="39"/>
    <w:next w:val="1"/>
    <w:qFormat/>
    <w:uiPriority w:val="0"/>
    <w:pPr>
      <w:jc w:val="left"/>
    </w:pPr>
  </w:style>
  <w:style w:type="paragraph" w:customStyle="1" w:styleId="6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">
    <w:name w:val="参考文献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7">
    <w:name w:val="参考文献、索引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8">
    <w:name w:val="发布"/>
    <w:basedOn w:val="3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69">
    <w:name w:val="发布部门"/>
    <w:next w:val="20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4">
    <w:name w:val="封面标准英文名称"/>
    <w:basedOn w:val="73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5">
    <w:name w:val="封面一致性程度标识"/>
    <w:basedOn w:val="74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76">
    <w:name w:val="封面标准文稿类别"/>
    <w:basedOn w:val="75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77">
    <w:name w:val="封面标准文稿编辑信息"/>
    <w:basedOn w:val="76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7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附录标识"/>
    <w:basedOn w:val="1"/>
    <w:next w:val="20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0">
    <w:name w:val="附录标题"/>
    <w:basedOn w:val="20"/>
    <w:next w:val="2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1">
    <w:name w:val="附录表标号"/>
    <w:basedOn w:val="1"/>
    <w:next w:val="20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2">
    <w:name w:val="附录表标题"/>
    <w:basedOn w:val="1"/>
    <w:next w:val="20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3">
    <w:name w:val="附录二级条标题"/>
    <w:basedOn w:val="1"/>
    <w:next w:val="20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4">
    <w:name w:val="附录二级无"/>
    <w:basedOn w:val="8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5">
    <w:name w:val="附录公式"/>
    <w:basedOn w:val="20"/>
    <w:next w:val="20"/>
    <w:link w:val="86"/>
    <w:qFormat/>
    <w:uiPriority w:val="0"/>
  </w:style>
  <w:style w:type="character" w:customStyle="1" w:styleId="86">
    <w:name w:val="附录公式 Char"/>
    <w:basedOn w:val="36"/>
    <w:link w:val="85"/>
    <w:qFormat/>
    <w:uiPriority w:val="0"/>
  </w:style>
  <w:style w:type="paragraph" w:customStyle="1" w:styleId="87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8">
    <w:name w:val="附录三级条标题"/>
    <w:basedOn w:val="83"/>
    <w:next w:val="20"/>
    <w:qFormat/>
    <w:uiPriority w:val="0"/>
    <w:pPr>
      <w:numPr>
        <w:ilvl w:val="4"/>
      </w:numPr>
      <w:outlineLvl w:val="4"/>
    </w:pPr>
  </w:style>
  <w:style w:type="paragraph" w:customStyle="1" w:styleId="89">
    <w:name w:val="附录三级无"/>
    <w:basedOn w:val="8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0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附录四级条标题"/>
    <w:basedOn w:val="88"/>
    <w:next w:val="20"/>
    <w:qFormat/>
    <w:uiPriority w:val="0"/>
    <w:pPr>
      <w:numPr>
        <w:ilvl w:val="5"/>
      </w:numPr>
      <w:outlineLvl w:val="5"/>
    </w:pPr>
  </w:style>
  <w:style w:type="paragraph" w:customStyle="1" w:styleId="92">
    <w:name w:val="附录四级无"/>
    <w:basedOn w:val="9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3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4">
    <w:name w:val="附录图标题"/>
    <w:basedOn w:val="1"/>
    <w:next w:val="20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5">
    <w:name w:val="附录五级条标题"/>
    <w:basedOn w:val="91"/>
    <w:next w:val="20"/>
    <w:qFormat/>
    <w:uiPriority w:val="0"/>
    <w:pPr>
      <w:numPr>
        <w:ilvl w:val="6"/>
      </w:numPr>
      <w:outlineLvl w:val="6"/>
    </w:pPr>
  </w:style>
  <w:style w:type="paragraph" w:customStyle="1" w:styleId="96">
    <w:name w:val="附录五级无"/>
    <w:basedOn w:val="9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章标题"/>
    <w:next w:val="20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8">
    <w:name w:val="附录一级条标题"/>
    <w:basedOn w:val="97"/>
    <w:next w:val="20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99">
    <w:name w:val="附录一级无"/>
    <w:basedOn w:val="9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0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2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其他标准标志"/>
    <w:basedOn w:val="61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6">
    <w:name w:val="其他发布部门"/>
    <w:basedOn w:val="69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07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三级无"/>
    <w:basedOn w:val="4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9">
    <w:name w:val="实施日期"/>
    <w:basedOn w:val="70"/>
    <w:qFormat/>
    <w:uiPriority w:val="0"/>
    <w:pPr>
      <w:framePr w:wrap="around" w:vAnchor="page"/>
      <w:jc w:val="right"/>
    </w:pPr>
  </w:style>
  <w:style w:type="paragraph" w:customStyle="1" w:styleId="110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11">
    <w:name w:val="首示例"/>
    <w:next w:val="20"/>
    <w:link w:val="112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2">
    <w:name w:val="首示例 Char"/>
    <w:basedOn w:val="30"/>
    <w:link w:val="111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3">
    <w:name w:val="四级无"/>
    <w:basedOn w:val="5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4">
    <w:name w:val="条文脚注"/>
    <w:basedOn w:val="21"/>
    <w:qFormat/>
    <w:uiPriority w:val="0"/>
    <w:pPr>
      <w:numPr>
        <w:numId w:val="0"/>
      </w:numPr>
      <w:jc w:val="both"/>
    </w:pPr>
  </w:style>
  <w:style w:type="paragraph" w:customStyle="1" w:styleId="115">
    <w:name w:val="图标脚注说明"/>
    <w:basedOn w:val="2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6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7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9">
    <w:name w:val="五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0">
    <w:name w:val="一级无"/>
    <w:basedOn w:val="3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正文表标题"/>
    <w:next w:val="20"/>
    <w:qFormat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123">
    <w:name w:val="正文图标题"/>
    <w:next w:val="20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5">
    <w:name w:val="其他发布日期"/>
    <w:basedOn w:val="70"/>
    <w:qFormat/>
    <w:uiPriority w:val="0"/>
    <w:pPr>
      <w:framePr w:wrap="around" w:vAnchor="page" w:x="1419"/>
    </w:pPr>
  </w:style>
  <w:style w:type="paragraph" w:customStyle="1" w:styleId="126">
    <w:name w:val="其他实施日期"/>
    <w:basedOn w:val="109"/>
    <w:qFormat/>
    <w:uiPriority w:val="0"/>
    <w:pPr>
      <w:framePr w:wrap="around"/>
    </w:pPr>
  </w:style>
  <w:style w:type="paragraph" w:customStyle="1" w:styleId="127">
    <w:name w:val="封面标准名称2"/>
    <w:basedOn w:val="73"/>
    <w:qFormat/>
    <w:uiPriority w:val="0"/>
    <w:pPr>
      <w:framePr w:wrap="around" w:y="4469"/>
      <w:spacing w:beforeLines="630"/>
    </w:pPr>
  </w:style>
  <w:style w:type="paragraph" w:customStyle="1" w:styleId="128">
    <w:name w:val="封面标准英文名称2"/>
    <w:basedOn w:val="74"/>
    <w:qFormat/>
    <w:uiPriority w:val="0"/>
    <w:pPr>
      <w:framePr w:wrap="around" w:y="4469"/>
    </w:pPr>
  </w:style>
  <w:style w:type="paragraph" w:customStyle="1" w:styleId="129">
    <w:name w:val="封面一致性程度标识2"/>
    <w:basedOn w:val="75"/>
    <w:qFormat/>
    <w:uiPriority w:val="0"/>
    <w:pPr>
      <w:framePr w:wrap="around" w:y="4469"/>
    </w:pPr>
  </w:style>
  <w:style w:type="paragraph" w:customStyle="1" w:styleId="130">
    <w:name w:val="封面标准文稿类别2"/>
    <w:basedOn w:val="76"/>
    <w:qFormat/>
    <w:uiPriority w:val="0"/>
    <w:pPr>
      <w:framePr w:wrap="around" w:y="4469"/>
    </w:pPr>
  </w:style>
  <w:style w:type="paragraph" w:customStyle="1" w:styleId="131">
    <w:name w:val="封面标准文稿编辑信息2"/>
    <w:basedOn w:val="77"/>
    <w:qFormat/>
    <w:uiPriority w:val="0"/>
    <w:pPr>
      <w:framePr w:wrap="around" w:y="4469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6"/>
    <customShpInfo spid="_x0000_s1038"/>
    <customShpInfo spid="_x0000_s1037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xxs</Template>
  <Company>zle</Company>
  <Pages>6</Pages>
  <Words>1499</Words>
  <Characters>1746</Characters>
  <Lines>15</Lines>
  <Paragraphs>4</Paragraphs>
  <TotalTime>2</TotalTime>
  <ScaleCrop>false</ScaleCrop>
  <LinksUpToDate>false</LinksUpToDate>
  <CharactersWithSpaces>1815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2023-09-09T08:26:00Z</dcterms:created>
  <dc:creator>CNIS</dc:creator>
  <cp:lastModifiedBy>administrator</cp:lastModifiedBy>
  <cp:lastPrinted>2023-09-08T18:11:53Z</cp:lastPrinted>
  <dcterms:modified xsi:type="dcterms:W3CDTF">2023-09-08T18:14:57Z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49D0A75FAC5745B4BF17F2FE40460D54_12</vt:lpwstr>
  </property>
</Properties>
</file>