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8410BA">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8410BA">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9015C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9015C9" w:rsidRPr="00672BFD">
              <w:rPr>
                <w:rFonts w:ascii="黑体" w:eastAsia="黑体" w:hAnsi="黑体"/>
                <w:sz w:val="21"/>
                <w:szCs w:val="21"/>
              </w:rPr>
            </w:r>
            <w:r w:rsidRPr="00672BFD">
              <w:rPr>
                <w:rFonts w:ascii="黑体" w:eastAsia="黑体" w:hAnsi="黑体"/>
                <w:sz w:val="21"/>
                <w:szCs w:val="21"/>
              </w:rPr>
              <w:fldChar w:fldCharType="separate"/>
            </w:r>
            <w:r w:rsidR="009015C9">
              <w:rPr>
                <w:rFonts w:ascii="黑体" w:eastAsia="黑体" w:hAnsi="黑体"/>
                <w:sz w:val="21"/>
                <w:szCs w:val="21"/>
              </w:rPr>
              <w:t>B20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9015C9">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015C9">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F0172">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BF0172">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C6FB3"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03AE9">
        <w:t>小麦控释肥料种肥同播技术规程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81A56">
        <w:rPr>
          <w:noProof/>
          <w:sz w:val="24"/>
          <w:szCs w:val="28"/>
        </w:rPr>
      </w:r>
      <w:r w:rsidR="00681A56">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681A56">
        <w:rPr>
          <w:b/>
          <w:noProof/>
          <w:sz w:val="21"/>
          <w:szCs w:val="28"/>
        </w:rPr>
      </w:r>
      <w:r w:rsidR="00681A56">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703AE9">
        <w:rPr>
          <w:rFonts w:ascii="黑体"/>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703AE9">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BCBAFF5" wp14:editId="002A453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8ACD7"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BF0172" w:rsidRDefault="00BF0172" w:rsidP="00BF0172">
      <w:pPr>
        <w:pStyle w:val="a6"/>
        <w:spacing w:before="900" w:after="468"/>
      </w:pPr>
      <w:bookmarkStart w:id="21" w:name="BookMark2"/>
      <w:r w:rsidRPr="00BF0172">
        <w:rPr>
          <w:spacing w:val="320"/>
        </w:rPr>
        <w:lastRenderedPageBreak/>
        <w:t>前</w:t>
      </w:r>
      <w:r>
        <w:t>言</w:t>
      </w:r>
    </w:p>
    <w:p w:rsidR="00BF0172" w:rsidRDefault="00BF0172" w:rsidP="00BF0172">
      <w:pPr>
        <w:pStyle w:val="affffb"/>
        <w:ind w:firstLine="420"/>
      </w:pPr>
      <w:r>
        <w:rPr>
          <w:rFonts w:hint="eastAsia"/>
        </w:rPr>
        <w:t>本文件按照GB/T 1.1—2020《标准化工作导则  第1部分：标准化文件的结构和起草规则》的规定起草。</w:t>
      </w:r>
    </w:p>
    <w:p w:rsidR="00BF0172" w:rsidRPr="00BF0172" w:rsidRDefault="009015C9" w:rsidP="00BF0172">
      <w:pPr>
        <w:pStyle w:val="affffb"/>
        <w:ind w:firstLine="420"/>
      </w:pPr>
      <w:r w:rsidRPr="009015C9">
        <w:rPr>
          <w:rFonts w:hint="eastAsia"/>
        </w:rPr>
        <w:t>小麦种肥同播技术是一种将种子与肥料同时播入土壤中的现代化农业技术。本</w:t>
      </w:r>
      <w:r>
        <w:rPr>
          <w:rFonts w:hint="eastAsia"/>
        </w:rPr>
        <w:t>文件</w:t>
      </w:r>
      <w:r w:rsidRPr="009015C9">
        <w:rPr>
          <w:rFonts w:hint="eastAsia"/>
        </w:rPr>
        <w:t>旨在规范小 麦种肥同播的操作流程，确保技术的有效实施，减少资源浪费，从而实现小麦产量和质量的双重提升。 本</w:t>
      </w:r>
      <w:r>
        <w:rPr>
          <w:rFonts w:hint="eastAsia"/>
        </w:rPr>
        <w:t>文件</w:t>
      </w:r>
      <w:r w:rsidRPr="009015C9">
        <w:rPr>
          <w:rFonts w:hint="eastAsia"/>
        </w:rPr>
        <w:t>旨在规范小麦种肥同播的操作流程并在其基础上选定肥料，确保技术的有效实施。</w:t>
      </w:r>
    </w:p>
    <w:p w:rsidR="00BF0172" w:rsidRDefault="009015C9" w:rsidP="00BF0172">
      <w:pPr>
        <w:pStyle w:val="affffb"/>
        <w:ind w:firstLine="420"/>
      </w:pPr>
      <w:r w:rsidRPr="009015C9">
        <w:rPr>
          <w:rFonts w:hint="eastAsia"/>
        </w:rPr>
        <w:t>请注意本文件的某些内容可能涉及专利。本文件的发布机构不承担识别专利的责任。</w:t>
      </w:r>
    </w:p>
    <w:p w:rsidR="00BF0172" w:rsidRDefault="00BF0172" w:rsidP="009015C9">
      <w:pPr>
        <w:pStyle w:val="affffb"/>
        <w:ind w:firstLine="420"/>
      </w:pPr>
      <w:r>
        <w:rPr>
          <w:rFonts w:hint="eastAsia"/>
        </w:rPr>
        <w:t>本文件由</w:t>
      </w:r>
      <w:r w:rsidR="009015C9">
        <w:rPr>
          <w:rFonts w:hint="eastAsia"/>
        </w:rPr>
        <w:t>新乡市农业农村局</w:t>
      </w:r>
      <w:r>
        <w:rPr>
          <w:rFonts w:hint="eastAsia"/>
        </w:rPr>
        <w:t>提出</w:t>
      </w:r>
      <w:r w:rsidR="009015C9">
        <w:rPr>
          <w:rFonts w:hint="eastAsia"/>
        </w:rPr>
        <w:t>并</w:t>
      </w:r>
      <w:r>
        <w:rPr>
          <w:rFonts w:hint="eastAsia"/>
        </w:rPr>
        <w:t>归口。</w:t>
      </w:r>
    </w:p>
    <w:p w:rsidR="00BF0172" w:rsidRDefault="00BF0172" w:rsidP="00BF0172">
      <w:pPr>
        <w:pStyle w:val="affffb"/>
        <w:ind w:firstLine="420"/>
      </w:pPr>
      <w:r>
        <w:rPr>
          <w:rFonts w:hint="eastAsia"/>
        </w:rPr>
        <w:t>本文件起草单位：</w:t>
      </w:r>
      <w:r w:rsidR="009015C9" w:rsidRPr="009015C9">
        <w:rPr>
          <w:rFonts w:hint="eastAsia"/>
        </w:rPr>
        <w:t>河南心连心化学工业集团股份有限公司、新乡市种业发展服务中心</w:t>
      </w:r>
    </w:p>
    <w:p w:rsidR="00BF0172" w:rsidRDefault="00BF0172" w:rsidP="00BF0172">
      <w:pPr>
        <w:pStyle w:val="affffb"/>
        <w:ind w:firstLine="420"/>
      </w:pPr>
      <w:r>
        <w:rPr>
          <w:rFonts w:hint="eastAsia"/>
        </w:rPr>
        <w:t>本文件主要起草人：</w:t>
      </w:r>
      <w:r w:rsidR="009015C9" w:rsidRPr="009015C9">
        <w:rPr>
          <w:rFonts w:hint="eastAsia"/>
        </w:rPr>
        <w:t>任荣魁、张书红、岳艳军、董向阳、刘艳梅、李昱浩、武志斌。</w:t>
      </w:r>
    </w:p>
    <w:p w:rsidR="00BF0172" w:rsidRDefault="00BF0172" w:rsidP="00BF0172">
      <w:pPr>
        <w:pStyle w:val="affffb"/>
        <w:ind w:firstLine="420"/>
      </w:pPr>
    </w:p>
    <w:p w:rsidR="00BF0172" w:rsidRPr="00BF0172" w:rsidRDefault="00BF0172" w:rsidP="00BF0172">
      <w:pPr>
        <w:pStyle w:val="affffb"/>
        <w:ind w:firstLine="420"/>
        <w:sectPr w:rsidR="00BF0172" w:rsidRPr="00BF0172" w:rsidSect="00BF0172">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36D07C6FE7B4A7F8176A04C149DA5B3"/>
        </w:placeholder>
      </w:sdtPr>
      <w:sdtEndPr/>
      <w:sdtContent>
        <w:bookmarkStart w:id="23" w:name="NEW_STAND_NAME" w:displacedByCustomXml="prev"/>
        <w:p w:rsidR="00F26B7E" w:rsidRPr="00F26B7E" w:rsidRDefault="00BF0172" w:rsidP="00703AE9">
          <w:pPr>
            <w:pStyle w:val="afffffffff8"/>
            <w:spacing w:beforeLines="1" w:before="3" w:afterLines="220" w:after="686"/>
          </w:pPr>
          <w:r>
            <w:rPr>
              <w:rFonts w:hint="eastAsia"/>
            </w:rPr>
            <w:t>小麦控释肥料种肥同播技术规程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95049D" w:rsidRDefault="0095049D" w:rsidP="0095049D">
      <w:pPr>
        <w:pStyle w:val="affffb"/>
        <w:ind w:firstLine="420"/>
        <w:rPr>
          <w:rFonts w:hint="eastAsia"/>
        </w:rPr>
      </w:pPr>
      <w:bookmarkStart w:id="33" w:name="_Toc17233326"/>
      <w:bookmarkStart w:id="34" w:name="_Toc17233334"/>
      <w:bookmarkStart w:id="35" w:name="_Toc24884212"/>
      <w:bookmarkStart w:id="36" w:name="_Toc24884219"/>
      <w:bookmarkStart w:id="37" w:name="_Toc26648466"/>
      <w:r>
        <w:rPr>
          <w:rFonts w:hint="eastAsia"/>
        </w:rPr>
        <w:t>本</w:t>
      </w:r>
      <w:r>
        <w:rPr>
          <w:rFonts w:hint="eastAsia"/>
        </w:rPr>
        <w:t>文件</w:t>
      </w:r>
      <w:r>
        <w:rPr>
          <w:rFonts w:hint="eastAsia"/>
        </w:rPr>
        <w:t>规定了小麦控释肥料种肥同播技术规程的相关术语和定义，以及小麦种植中使用机械进行种肥同播的技术参数和管理要求。</w:t>
      </w:r>
    </w:p>
    <w:p w:rsidR="008B0C9C" w:rsidRDefault="0095049D" w:rsidP="0095049D">
      <w:pPr>
        <w:pStyle w:val="affffb"/>
        <w:ind w:firstLine="420"/>
      </w:pPr>
      <w:r>
        <w:rPr>
          <w:rFonts w:hint="eastAsia"/>
        </w:rPr>
        <w:t>本</w:t>
      </w:r>
      <w:r>
        <w:rPr>
          <w:rFonts w:hint="eastAsia"/>
        </w:rPr>
        <w:t>文件</w:t>
      </w:r>
      <w:r>
        <w:rPr>
          <w:rFonts w:hint="eastAsia"/>
        </w:rPr>
        <w:t>适用于新乡市小麦控释肥料种肥同播。</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BA64C42DBD624EC4B87B44E3362FD3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5049D" w:rsidRDefault="0095049D" w:rsidP="0095049D">
      <w:pPr>
        <w:pStyle w:val="affffb"/>
        <w:ind w:firstLine="420"/>
        <w:rPr>
          <w:rFonts w:hint="eastAsia"/>
        </w:rPr>
      </w:pPr>
      <w:r>
        <w:rPr>
          <w:rFonts w:hint="eastAsia"/>
        </w:rPr>
        <w:t>GB 4404.1 粮食作物种子第1部分:禾谷类</w:t>
      </w:r>
    </w:p>
    <w:p w:rsidR="0095049D" w:rsidRDefault="0095049D" w:rsidP="0095049D">
      <w:pPr>
        <w:pStyle w:val="affffb"/>
        <w:ind w:firstLine="420"/>
        <w:rPr>
          <w:rFonts w:hint="eastAsia"/>
        </w:rPr>
      </w:pPr>
      <w:r>
        <w:rPr>
          <w:rFonts w:hint="eastAsia"/>
        </w:rPr>
        <w:t>GB/T 15063 复合肥</w:t>
      </w:r>
    </w:p>
    <w:p w:rsidR="0095049D" w:rsidRDefault="0095049D" w:rsidP="0095049D">
      <w:pPr>
        <w:pStyle w:val="affffb"/>
        <w:ind w:firstLine="420"/>
        <w:rPr>
          <w:rFonts w:hint="eastAsia"/>
        </w:rPr>
      </w:pPr>
      <w:r>
        <w:rPr>
          <w:rFonts w:hint="eastAsia"/>
        </w:rPr>
        <w:t>GB/T 17420 微量元素叶面肥料</w:t>
      </w:r>
    </w:p>
    <w:p w:rsidR="0095049D" w:rsidRDefault="0095049D" w:rsidP="0095049D">
      <w:pPr>
        <w:pStyle w:val="affffb"/>
        <w:ind w:firstLine="420"/>
        <w:rPr>
          <w:rFonts w:hint="eastAsia"/>
        </w:rPr>
      </w:pPr>
      <w:r>
        <w:rPr>
          <w:rFonts w:hint="eastAsia"/>
        </w:rPr>
        <w:t>GB/T 21633 掺混肥料</w:t>
      </w:r>
    </w:p>
    <w:p w:rsidR="0095049D" w:rsidRDefault="0095049D" w:rsidP="0095049D">
      <w:pPr>
        <w:pStyle w:val="affffb"/>
        <w:ind w:firstLine="420"/>
        <w:rPr>
          <w:rFonts w:hint="eastAsia"/>
        </w:rPr>
      </w:pPr>
      <w:r>
        <w:rPr>
          <w:rFonts w:hint="eastAsia"/>
        </w:rPr>
        <w:t>NY/T 496 肥料合理使用准则通则</w:t>
      </w:r>
    </w:p>
    <w:p w:rsidR="00AA6EC9" w:rsidRPr="008A57E6" w:rsidRDefault="0095049D" w:rsidP="0095049D">
      <w:pPr>
        <w:pStyle w:val="affffb"/>
        <w:ind w:firstLine="420"/>
      </w:pPr>
      <w:r>
        <w:rPr>
          <w:rFonts w:hint="eastAsia"/>
        </w:rPr>
        <w:t>NY/T 1276 农药安全使用规范总则</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223D82559A344F9796BF7D0DE947FE4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95049D" w:rsidP="00BA263B">
          <w:pPr>
            <w:pStyle w:val="affffb"/>
            <w:ind w:firstLine="420"/>
          </w:pPr>
          <w:r>
            <w:t>下列术语和定义适用于本文件。</w:t>
          </w:r>
        </w:p>
      </w:sdtContent>
    </w:sdt>
    <w:p w:rsidR="004B3E93" w:rsidRDefault="0095049D" w:rsidP="0095049D">
      <w:pPr>
        <w:pStyle w:val="afffffffffff5"/>
        <w:ind w:left="420" w:hangingChars="200" w:hanging="420"/>
        <w:rPr>
          <w:rFonts w:ascii="黑体" w:eastAsia="黑体" w:hAnsi="黑体"/>
        </w:rPr>
      </w:pPr>
      <w:r w:rsidRPr="0095049D">
        <w:rPr>
          <w:rFonts w:ascii="黑体" w:eastAsia="黑体" w:hAnsi="黑体"/>
        </w:rPr>
        <w:br/>
      </w:r>
      <w:r>
        <w:rPr>
          <w:rFonts w:ascii="黑体" w:eastAsia="黑体" w:hAnsi="黑体" w:hint="eastAsia"/>
        </w:rPr>
        <w:t>小麦种肥</w:t>
      </w:r>
      <w:r>
        <w:rPr>
          <w:rFonts w:ascii="黑体" w:eastAsia="黑体" w:hAnsi="黑体"/>
        </w:rPr>
        <w:t>同播</w:t>
      </w:r>
    </w:p>
    <w:p w:rsidR="0095049D" w:rsidRDefault="0095049D" w:rsidP="0095049D">
      <w:pPr>
        <w:pStyle w:val="affffb"/>
        <w:ind w:firstLine="420"/>
      </w:pPr>
      <w:r w:rsidRPr="0095049D">
        <w:rPr>
          <w:rFonts w:hint="eastAsia"/>
        </w:rPr>
        <w:t>指小麦播种、施肥由机械一次性作业，满足小麦种植环节对播种、施肥、覆土、镇压等多项农艺要求，同时保证适宜的种子和肥料距离的机械化作业。</w:t>
      </w:r>
    </w:p>
    <w:p w:rsidR="0095049D" w:rsidRPr="0095049D" w:rsidRDefault="0095049D" w:rsidP="0095049D">
      <w:pPr>
        <w:pStyle w:val="affc"/>
        <w:spacing w:before="312" w:after="312"/>
        <w:rPr>
          <w:rFonts w:hint="eastAsia"/>
        </w:rPr>
      </w:pPr>
      <w:r>
        <w:rPr>
          <w:rFonts w:hAnsi="黑体" w:hint="eastAsia"/>
        </w:rPr>
        <w:t>品种选择</w:t>
      </w:r>
    </w:p>
    <w:p w:rsidR="0095049D" w:rsidRPr="0095049D" w:rsidRDefault="0095049D" w:rsidP="0095049D">
      <w:pPr>
        <w:pStyle w:val="affffb"/>
        <w:ind w:firstLine="420"/>
        <w:rPr>
          <w:rFonts w:hint="eastAsia"/>
        </w:rPr>
      </w:pPr>
      <w:r w:rsidRPr="0095049D">
        <w:rPr>
          <w:rFonts w:hint="eastAsia"/>
        </w:rPr>
        <w:t>选用符合GB 4404.1要求、适宜本地种植且抗逆性强的高产优质小麦品种。播前晒种1</w:t>
      </w:r>
      <w:r w:rsidR="0075138F">
        <w:t xml:space="preserve"> </w:t>
      </w:r>
      <w:r w:rsidR="0075138F" w:rsidRPr="0095049D">
        <w:rPr>
          <w:rFonts w:hint="eastAsia"/>
        </w:rPr>
        <w:t>d</w:t>
      </w:r>
      <w:r w:rsidR="0075138F">
        <w:rPr>
          <w:rFonts w:hAnsi="宋体" w:hint="eastAsia"/>
        </w:rPr>
        <w:t>～</w:t>
      </w:r>
      <w:r w:rsidRPr="0095049D">
        <w:rPr>
          <w:rFonts w:hint="eastAsia"/>
        </w:rPr>
        <w:t>2</w:t>
      </w:r>
      <w:r w:rsidR="0075138F">
        <w:t xml:space="preserve"> </w:t>
      </w:r>
      <w:r w:rsidRPr="0095049D">
        <w:rPr>
          <w:rFonts w:hint="eastAsia"/>
        </w:rPr>
        <w:t>d，用小麦专用拌种剂拌种，晾干后播种。</w:t>
      </w:r>
    </w:p>
    <w:p w:rsidR="001D212F" w:rsidRDefault="0095049D" w:rsidP="0095049D">
      <w:pPr>
        <w:pStyle w:val="affc"/>
        <w:spacing w:before="312" w:after="312"/>
      </w:pPr>
      <w:r w:rsidRPr="0095049D">
        <w:rPr>
          <w:rFonts w:hint="eastAsia"/>
        </w:rPr>
        <w:t>秸秆还田与整地</w:t>
      </w:r>
    </w:p>
    <w:p w:rsidR="00CD561D" w:rsidRDefault="0095049D" w:rsidP="0095049D">
      <w:pPr>
        <w:pStyle w:val="affd"/>
        <w:spacing w:before="156" w:after="156"/>
      </w:pPr>
      <w:r>
        <w:rPr>
          <w:rFonts w:hint="eastAsia"/>
        </w:rPr>
        <w:t>秸秆还田</w:t>
      </w:r>
    </w:p>
    <w:p w:rsidR="0095049D" w:rsidRDefault="0095049D" w:rsidP="0095049D">
      <w:pPr>
        <w:pStyle w:val="affffb"/>
        <w:ind w:firstLine="420"/>
        <w:rPr>
          <w:rFonts w:hint="eastAsia"/>
        </w:rPr>
      </w:pPr>
      <w:r>
        <w:rPr>
          <w:rFonts w:hint="eastAsia"/>
        </w:rPr>
        <w:t>秸秆粉碎还田机械作业，要满足:</w:t>
      </w:r>
    </w:p>
    <w:p w:rsidR="0095049D" w:rsidRDefault="0095049D" w:rsidP="0095049D">
      <w:pPr>
        <w:pStyle w:val="affffb"/>
        <w:ind w:firstLine="420"/>
        <w:rPr>
          <w:rFonts w:hint="eastAsia"/>
        </w:rPr>
      </w:pPr>
      <w:r>
        <w:rPr>
          <w:rFonts w:hint="eastAsia"/>
        </w:rPr>
        <w:t>--秸秆切碎长度≤5</w:t>
      </w:r>
      <w:r w:rsidR="0075138F">
        <w:t xml:space="preserve"> </w:t>
      </w:r>
      <w:r>
        <w:rPr>
          <w:rFonts w:hint="eastAsia"/>
        </w:rPr>
        <w:t>cm；</w:t>
      </w:r>
    </w:p>
    <w:p w:rsidR="0095049D" w:rsidRDefault="0095049D" w:rsidP="0095049D">
      <w:pPr>
        <w:pStyle w:val="affffb"/>
        <w:ind w:firstLine="420"/>
        <w:rPr>
          <w:rFonts w:hint="eastAsia"/>
        </w:rPr>
      </w:pPr>
      <w:r>
        <w:rPr>
          <w:rFonts w:hint="eastAsia"/>
        </w:rPr>
        <w:t>--秸秆切碎合格率≥90%；</w:t>
      </w:r>
    </w:p>
    <w:p w:rsidR="0095049D" w:rsidRDefault="0095049D" w:rsidP="0095049D">
      <w:pPr>
        <w:pStyle w:val="affffb"/>
        <w:ind w:firstLine="420"/>
        <w:rPr>
          <w:rFonts w:hint="eastAsia"/>
        </w:rPr>
      </w:pPr>
      <w:r>
        <w:rPr>
          <w:rFonts w:hint="eastAsia"/>
        </w:rPr>
        <w:t>--抛撒不均匀率≤20%；</w:t>
      </w:r>
    </w:p>
    <w:p w:rsidR="0095049D" w:rsidRPr="0095049D" w:rsidRDefault="0095049D" w:rsidP="0095049D">
      <w:pPr>
        <w:pStyle w:val="affffb"/>
        <w:ind w:firstLine="420"/>
        <w:rPr>
          <w:rFonts w:hint="eastAsia"/>
        </w:rPr>
      </w:pPr>
      <w:r>
        <w:rPr>
          <w:rFonts w:hint="eastAsia"/>
        </w:rPr>
        <w:t>--秸秆粉碎还田前，每667</w:t>
      </w:r>
      <w:r w:rsidR="0075138F">
        <w:t xml:space="preserve"> </w:t>
      </w:r>
      <w:r>
        <w:rPr>
          <w:rFonts w:hint="eastAsia"/>
        </w:rPr>
        <w:t>㎡施尿素5</w:t>
      </w:r>
      <w:r w:rsidR="0075138F">
        <w:t xml:space="preserve"> </w:t>
      </w:r>
      <w:r>
        <w:rPr>
          <w:rFonts w:hint="eastAsia"/>
        </w:rPr>
        <w:t>kg</w:t>
      </w:r>
      <w:r w:rsidR="0075138F">
        <w:rPr>
          <w:rFonts w:hAnsi="宋体" w:hint="eastAsia"/>
        </w:rPr>
        <w:t>～</w:t>
      </w:r>
      <w:r>
        <w:rPr>
          <w:rFonts w:hint="eastAsia"/>
        </w:rPr>
        <w:t>10</w:t>
      </w:r>
      <w:r w:rsidR="0075138F">
        <w:t xml:space="preserve"> </w:t>
      </w:r>
      <w:r>
        <w:rPr>
          <w:rFonts w:hint="eastAsia"/>
        </w:rPr>
        <w:t>kg。</w:t>
      </w:r>
    </w:p>
    <w:p w:rsidR="00CD561D" w:rsidRDefault="0095049D" w:rsidP="0095049D">
      <w:pPr>
        <w:pStyle w:val="affd"/>
        <w:spacing w:before="156" w:after="156"/>
      </w:pPr>
      <w:r>
        <w:rPr>
          <w:rFonts w:hint="eastAsia"/>
        </w:rPr>
        <w:lastRenderedPageBreak/>
        <w:t>整地</w:t>
      </w:r>
    </w:p>
    <w:p w:rsidR="0095049D" w:rsidRDefault="0095049D" w:rsidP="0095049D">
      <w:pPr>
        <w:pStyle w:val="affffb"/>
        <w:ind w:firstLine="420"/>
      </w:pPr>
      <w:r w:rsidRPr="0095049D">
        <w:rPr>
          <w:rFonts w:hint="eastAsia"/>
        </w:rPr>
        <w:t>选用带镇压器的机械整地作业，表层土壤松碎，无根茬。旋深15</w:t>
      </w:r>
      <w:r w:rsidR="00EF063D">
        <w:t xml:space="preserve"> </w:t>
      </w:r>
      <w:r w:rsidRPr="0095049D">
        <w:rPr>
          <w:rFonts w:hint="eastAsia"/>
        </w:rPr>
        <w:t>cm以上，耙实后播种，在土壤板结、秸秆还田量大时进行深耕，深度在25</w:t>
      </w:r>
      <w:r w:rsidR="0075138F">
        <w:t xml:space="preserve"> </w:t>
      </w:r>
      <w:r w:rsidRPr="0095049D">
        <w:rPr>
          <w:rFonts w:hint="eastAsia"/>
        </w:rPr>
        <w:t>cm以上。</w:t>
      </w:r>
    </w:p>
    <w:p w:rsidR="0095049D" w:rsidRDefault="0095049D" w:rsidP="0095049D">
      <w:pPr>
        <w:pStyle w:val="affc"/>
        <w:spacing w:before="312" w:after="312"/>
      </w:pPr>
      <w:r>
        <w:rPr>
          <w:rFonts w:hint="eastAsia"/>
        </w:rPr>
        <w:t>种肥同播</w:t>
      </w:r>
    </w:p>
    <w:p w:rsidR="0095049D" w:rsidRDefault="0095049D" w:rsidP="0095049D">
      <w:pPr>
        <w:pStyle w:val="affd"/>
        <w:spacing w:before="156" w:after="156"/>
      </w:pPr>
      <w:r>
        <w:rPr>
          <w:rFonts w:hint="eastAsia"/>
        </w:rPr>
        <w:t>机械选择</w:t>
      </w:r>
    </w:p>
    <w:p w:rsidR="0095049D" w:rsidRDefault="0095049D" w:rsidP="0095049D">
      <w:pPr>
        <w:pStyle w:val="affffb"/>
        <w:ind w:firstLine="420"/>
      </w:pPr>
      <w:r w:rsidRPr="0095049D">
        <w:rPr>
          <w:rFonts w:hint="eastAsia"/>
        </w:rPr>
        <w:t>选择适宜的种肥同播机，应能调节播种量、播种深度、行距，播肥量、播肥深度，肥料与种子之间的距离。</w:t>
      </w:r>
    </w:p>
    <w:p w:rsidR="0095049D" w:rsidRDefault="006C716C" w:rsidP="006C716C">
      <w:pPr>
        <w:pStyle w:val="affe"/>
        <w:spacing w:before="156" w:after="156"/>
      </w:pPr>
      <w:r w:rsidRPr="006C716C">
        <w:rPr>
          <w:rFonts w:hint="eastAsia"/>
        </w:rPr>
        <w:t>侧下方施肥</w:t>
      </w:r>
    </w:p>
    <w:p w:rsidR="006C716C" w:rsidRDefault="006C716C" w:rsidP="006C716C">
      <w:pPr>
        <w:pStyle w:val="affffb"/>
        <w:ind w:firstLine="420"/>
      </w:pPr>
      <w:r w:rsidRPr="006C716C">
        <w:rPr>
          <w:rFonts w:hint="eastAsia"/>
        </w:rPr>
        <w:t>肥料位于种子侧下方，种子呈线性排列，种子与肥料水平间隔距离＞5</w:t>
      </w:r>
      <w:r w:rsidR="0075138F">
        <w:t xml:space="preserve"> </w:t>
      </w:r>
      <w:r w:rsidRPr="006C716C">
        <w:rPr>
          <w:rFonts w:hint="eastAsia"/>
        </w:rPr>
        <w:t>cm，深度相距3</w:t>
      </w:r>
      <w:r w:rsidR="002A40BE">
        <w:t xml:space="preserve"> </w:t>
      </w:r>
      <w:r w:rsidR="002A40BE" w:rsidRPr="006C716C">
        <w:rPr>
          <w:rFonts w:hint="eastAsia"/>
        </w:rPr>
        <w:t>cm</w:t>
      </w:r>
      <w:r w:rsidR="002A40BE">
        <w:rPr>
          <w:rFonts w:hAnsi="宋体" w:hint="eastAsia"/>
        </w:rPr>
        <w:t>～</w:t>
      </w:r>
      <w:r w:rsidRPr="006C716C">
        <w:rPr>
          <w:rFonts w:hint="eastAsia"/>
        </w:rPr>
        <w:t>5</w:t>
      </w:r>
      <w:r w:rsidR="002A40BE">
        <w:t xml:space="preserve"> </w:t>
      </w:r>
      <w:r w:rsidRPr="006C716C">
        <w:rPr>
          <w:rFonts w:hint="eastAsia"/>
        </w:rPr>
        <w:t>cm，降低因施肥量过多可能造成的烧根情况发生，但施肥耧腿和播种耧腿间距小，对整地要求较高。</w:t>
      </w:r>
    </w:p>
    <w:p w:rsidR="006C716C" w:rsidRDefault="006C716C" w:rsidP="006C716C">
      <w:pPr>
        <w:pStyle w:val="affe"/>
        <w:spacing w:before="156" w:after="156"/>
      </w:pPr>
      <w:r>
        <w:rPr>
          <w:rFonts w:hint="eastAsia"/>
        </w:rPr>
        <w:t>正</w:t>
      </w:r>
      <w:r>
        <w:t>下方施肥</w:t>
      </w:r>
    </w:p>
    <w:p w:rsidR="00403AC5" w:rsidRPr="00403AC5" w:rsidRDefault="00403AC5" w:rsidP="00403AC5">
      <w:pPr>
        <w:pStyle w:val="affffb"/>
        <w:ind w:firstLine="420"/>
        <w:rPr>
          <w:rFonts w:hint="eastAsia"/>
        </w:rPr>
      </w:pPr>
      <w:r w:rsidRPr="006C716C">
        <w:rPr>
          <w:rFonts w:hint="eastAsia"/>
        </w:rPr>
        <w:t>肥料位于种子正下方，种子与肥料深度相距3</w:t>
      </w:r>
      <w:r>
        <w:rPr>
          <w:rFonts w:ascii="MS Mincho" w:hAnsi="MS Mincho" w:cs="MS Mincho" w:hint="eastAsia"/>
        </w:rPr>
        <w:t xml:space="preserve"> </w:t>
      </w:r>
      <w:r w:rsidRPr="006C716C">
        <w:rPr>
          <w:rFonts w:hint="eastAsia"/>
        </w:rPr>
        <w:t>cm</w:t>
      </w:r>
      <w:r>
        <w:rPr>
          <w:rFonts w:hAnsi="宋体" w:hint="eastAsia"/>
        </w:rPr>
        <w:t>～</w:t>
      </w:r>
      <w:r w:rsidRPr="006C716C">
        <w:rPr>
          <w:rFonts w:hint="eastAsia"/>
        </w:rPr>
        <w:t>5</w:t>
      </w:r>
      <w:r>
        <w:t xml:space="preserve"> </w:t>
      </w:r>
      <w:r w:rsidRPr="006C716C">
        <w:rPr>
          <w:rFonts w:hint="eastAsia"/>
        </w:rPr>
        <w:t>cm，种子呈8</w:t>
      </w:r>
      <w:r>
        <w:rPr>
          <w:rFonts w:ascii="MS Mincho" w:hAnsi="MS Mincho" w:cs="MS Mincho" w:hint="eastAsia"/>
        </w:rPr>
        <w:t xml:space="preserve"> </w:t>
      </w:r>
      <w:r w:rsidRPr="006C716C">
        <w:rPr>
          <w:rFonts w:hint="eastAsia"/>
        </w:rPr>
        <w:t>cm</w:t>
      </w:r>
      <w:r>
        <w:rPr>
          <w:rFonts w:hAnsi="宋体" w:hint="eastAsia"/>
        </w:rPr>
        <w:t>～</w:t>
      </w:r>
      <w:r w:rsidRPr="006C716C">
        <w:rPr>
          <w:rFonts w:hint="eastAsia"/>
        </w:rPr>
        <w:t>12</w:t>
      </w:r>
      <w:r>
        <w:t xml:space="preserve"> </w:t>
      </w:r>
      <w:r w:rsidRPr="006C716C">
        <w:rPr>
          <w:rFonts w:hint="eastAsia"/>
        </w:rPr>
        <w:t>cm的苗带排列，种子与肥料深度相距3</w:t>
      </w:r>
      <w:r>
        <w:rPr>
          <w:rFonts w:ascii="MS Mincho" w:hAnsi="MS Mincho" w:cs="MS Mincho" w:hint="eastAsia"/>
        </w:rPr>
        <w:t xml:space="preserve"> </w:t>
      </w:r>
      <w:r w:rsidRPr="006C716C">
        <w:rPr>
          <w:rFonts w:hint="eastAsia"/>
        </w:rPr>
        <w:t>cm</w:t>
      </w:r>
      <w:r>
        <w:rPr>
          <w:rFonts w:hAnsi="宋体" w:hint="eastAsia"/>
        </w:rPr>
        <w:t>～</w:t>
      </w:r>
      <w:r w:rsidRPr="006C716C">
        <w:rPr>
          <w:rFonts w:hint="eastAsia"/>
        </w:rPr>
        <w:t>5</w:t>
      </w:r>
      <w:r>
        <w:rPr>
          <w:rFonts w:ascii="MS Mincho" w:hAnsi="MS Mincho" w:cs="MS Mincho" w:hint="eastAsia"/>
        </w:rPr>
        <w:t xml:space="preserve"> </w:t>
      </w:r>
      <w:r w:rsidRPr="006C716C">
        <w:rPr>
          <w:rFonts w:hint="eastAsia"/>
        </w:rPr>
        <w:t>cm，田间通风透光好，机械通过性较好，种肥距离相对固定。</w:t>
      </w:r>
    </w:p>
    <w:p w:rsidR="006C716C" w:rsidRDefault="006C716C" w:rsidP="006C716C">
      <w:pPr>
        <w:pStyle w:val="affd"/>
        <w:spacing w:before="156" w:after="156"/>
      </w:pPr>
      <w:r>
        <w:rPr>
          <w:rFonts w:hint="eastAsia"/>
        </w:rPr>
        <w:t>播期</w:t>
      </w:r>
    </w:p>
    <w:p w:rsidR="006C716C" w:rsidRDefault="006C716C" w:rsidP="006C716C">
      <w:pPr>
        <w:pStyle w:val="affffb"/>
        <w:ind w:firstLine="420"/>
      </w:pPr>
      <w:r w:rsidRPr="006C716C">
        <w:rPr>
          <w:rFonts w:hint="eastAsia"/>
        </w:rPr>
        <w:t>按每 667</w:t>
      </w:r>
      <w:r w:rsidR="002A40BE">
        <w:t xml:space="preserve"> </w:t>
      </w:r>
      <w:r w:rsidRPr="006C716C">
        <w:rPr>
          <w:rFonts w:hint="eastAsia"/>
        </w:rPr>
        <w:t>㎡基本苗</w:t>
      </w:r>
      <w:r w:rsidR="002A40BE">
        <w:rPr>
          <w:rFonts w:hint="eastAsia"/>
        </w:rPr>
        <w:t xml:space="preserve"> 18</w:t>
      </w:r>
      <w:r w:rsidR="002A40BE">
        <w:rPr>
          <w:rFonts w:hAnsi="宋体" w:hint="eastAsia"/>
        </w:rPr>
        <w:t>～</w:t>
      </w:r>
      <w:r w:rsidRPr="006C716C">
        <w:rPr>
          <w:rFonts w:hint="eastAsia"/>
        </w:rPr>
        <w:t>20万株确定播种量，一般每 667</w:t>
      </w:r>
      <w:r w:rsidR="0075138F">
        <w:t xml:space="preserve"> </w:t>
      </w:r>
      <w:r w:rsidRPr="006C716C">
        <w:rPr>
          <w:rFonts w:hint="eastAsia"/>
        </w:rPr>
        <w:t>㎡播种量为 11</w:t>
      </w:r>
      <w:r w:rsidR="002A40BE">
        <w:t xml:space="preserve"> </w:t>
      </w:r>
      <w:r w:rsidRPr="006C716C">
        <w:rPr>
          <w:rFonts w:hint="eastAsia"/>
        </w:rPr>
        <w:t>kg</w:t>
      </w:r>
      <w:r w:rsidR="002A40BE">
        <w:rPr>
          <w:rFonts w:hAnsi="宋体" w:cs="MS Mincho" w:hint="eastAsia"/>
        </w:rPr>
        <w:t>～</w:t>
      </w:r>
      <w:r w:rsidRPr="006C716C">
        <w:rPr>
          <w:rFonts w:hint="eastAsia"/>
        </w:rPr>
        <w:t>l4</w:t>
      </w:r>
      <w:r w:rsidR="002A40BE">
        <w:t xml:space="preserve"> </w:t>
      </w:r>
      <w:r w:rsidRPr="006C716C">
        <w:rPr>
          <w:rFonts w:hint="eastAsia"/>
        </w:rPr>
        <w:t>kg。土壤墒情适宜(土壤含水量为田间饱和持水量的</w:t>
      </w:r>
      <w:r w:rsidR="002A40BE">
        <w:rPr>
          <w:rFonts w:hint="eastAsia"/>
        </w:rPr>
        <w:t>70%</w:t>
      </w:r>
      <w:r w:rsidR="002A40BE">
        <w:rPr>
          <w:rFonts w:hAnsi="宋体" w:hint="eastAsia"/>
        </w:rPr>
        <w:t>～</w:t>
      </w:r>
      <w:r w:rsidRPr="006C716C">
        <w:rPr>
          <w:rFonts w:hint="eastAsia"/>
        </w:rPr>
        <w:t>80%)、播种期适宜即可播种，墒情较差及粘重土壤播量增加</w:t>
      </w:r>
      <w:r w:rsidR="002A40BE">
        <w:rPr>
          <w:rFonts w:hint="eastAsia"/>
        </w:rPr>
        <w:t xml:space="preserve"> 5%</w:t>
      </w:r>
      <w:r w:rsidR="002A40BE">
        <w:rPr>
          <w:rFonts w:hAnsi="宋体" w:hint="eastAsia"/>
        </w:rPr>
        <w:t>～</w:t>
      </w:r>
      <w:r w:rsidRPr="006C716C">
        <w:rPr>
          <w:rFonts w:hint="eastAsia"/>
        </w:rPr>
        <w:t>10%。11月5日以后，每迟播2</w:t>
      </w:r>
      <w:r w:rsidR="002A40BE">
        <w:t xml:space="preserve"> </w:t>
      </w:r>
      <w:r w:rsidRPr="006C716C">
        <w:rPr>
          <w:rFonts w:hint="eastAsia"/>
        </w:rPr>
        <w:t>d则每667</w:t>
      </w:r>
      <w:r w:rsidR="002A40BE">
        <w:t xml:space="preserve"> </w:t>
      </w:r>
      <w:r w:rsidRPr="006C716C">
        <w:rPr>
          <w:rFonts w:hint="eastAsia"/>
        </w:rPr>
        <w:t>㎡应增加播种量0.5</w:t>
      </w:r>
      <w:r w:rsidR="002A40BE">
        <w:t xml:space="preserve"> </w:t>
      </w:r>
      <w:r w:rsidRPr="006C716C">
        <w:rPr>
          <w:rFonts w:hint="eastAsia"/>
        </w:rPr>
        <w:t>kg。</w:t>
      </w:r>
    </w:p>
    <w:p w:rsidR="006C716C" w:rsidRDefault="006C716C" w:rsidP="006C716C">
      <w:pPr>
        <w:pStyle w:val="affd"/>
        <w:spacing w:before="156" w:after="156"/>
      </w:pPr>
      <w:r w:rsidRPr="006C716C">
        <w:rPr>
          <w:rFonts w:hint="eastAsia"/>
        </w:rPr>
        <w:t>播深与行距</w:t>
      </w:r>
    </w:p>
    <w:p w:rsidR="006C716C" w:rsidRDefault="006C716C" w:rsidP="006C716C">
      <w:pPr>
        <w:pStyle w:val="affffb"/>
        <w:ind w:firstLine="420"/>
      </w:pPr>
      <w:r w:rsidRPr="006C716C">
        <w:rPr>
          <w:rFonts w:hint="eastAsia"/>
        </w:rPr>
        <w:t>播种深度3</w:t>
      </w:r>
      <w:r>
        <w:t xml:space="preserve"> </w:t>
      </w:r>
      <w:r w:rsidRPr="006C716C">
        <w:rPr>
          <w:rFonts w:hint="eastAsia"/>
        </w:rPr>
        <w:t>cm</w:t>
      </w:r>
      <w:r>
        <w:rPr>
          <w:rFonts w:hAnsi="宋体" w:hint="eastAsia"/>
        </w:rPr>
        <w:t>～</w:t>
      </w:r>
      <w:r w:rsidRPr="006C716C">
        <w:rPr>
          <w:rFonts w:hint="eastAsia"/>
        </w:rPr>
        <w:t>5</w:t>
      </w:r>
      <w:r>
        <w:t xml:space="preserve"> </w:t>
      </w:r>
      <w:r w:rsidRPr="006C716C">
        <w:rPr>
          <w:rFonts w:hint="eastAsia"/>
        </w:rPr>
        <w:t>cm，墒情不足时加深至5</w:t>
      </w:r>
      <w:r>
        <w:t xml:space="preserve"> </w:t>
      </w:r>
      <w:r w:rsidRPr="006C716C">
        <w:rPr>
          <w:rFonts w:hint="eastAsia"/>
        </w:rPr>
        <w:t>cm</w:t>
      </w:r>
      <w:r>
        <w:rPr>
          <w:rFonts w:hAnsi="宋体" w:hint="eastAsia"/>
        </w:rPr>
        <w:t>～</w:t>
      </w:r>
      <w:r w:rsidRPr="006C716C">
        <w:rPr>
          <w:rFonts w:hint="eastAsia"/>
        </w:rPr>
        <w:t>6</w:t>
      </w:r>
      <w:r>
        <w:t xml:space="preserve"> </w:t>
      </w:r>
      <w:r w:rsidRPr="006C716C">
        <w:rPr>
          <w:rFonts w:hint="eastAsia"/>
        </w:rPr>
        <w:t>cm</w:t>
      </w:r>
      <w:r w:rsidRPr="006C716C">
        <w:rPr>
          <w:rFonts w:hint="eastAsia"/>
        </w:rPr>
        <w:t>，与机械施肥配套，行距根据种肥同播机的种 类进行调整，播后镇压，墒情不足时补水。侧下方施肥推荐播种行距16</w:t>
      </w:r>
      <w:r w:rsidR="002A40BE">
        <w:rPr>
          <w:rFonts w:ascii="MS Mincho" w:hAnsi="MS Mincho" w:cs="MS Mincho" w:hint="eastAsia"/>
        </w:rPr>
        <w:t xml:space="preserve"> </w:t>
      </w:r>
      <w:r w:rsidR="002A40BE" w:rsidRPr="006C716C">
        <w:rPr>
          <w:rFonts w:hint="eastAsia"/>
        </w:rPr>
        <w:t>cm</w:t>
      </w:r>
      <w:r w:rsidR="002A40BE">
        <w:rPr>
          <w:rFonts w:hAnsi="宋体" w:hint="eastAsia"/>
        </w:rPr>
        <w:t>～</w:t>
      </w:r>
      <w:r w:rsidRPr="006C716C">
        <w:rPr>
          <w:rFonts w:hint="eastAsia"/>
        </w:rPr>
        <w:t>22</w:t>
      </w:r>
      <w:r w:rsidR="002A40BE">
        <w:t xml:space="preserve"> </w:t>
      </w:r>
      <w:r w:rsidRPr="006C716C">
        <w:rPr>
          <w:rFonts w:hint="eastAsia"/>
        </w:rPr>
        <w:t>cm，正下方施肥推荐播种行距26</w:t>
      </w:r>
      <w:r w:rsidR="002A40BE">
        <w:rPr>
          <w:rFonts w:ascii="MS Mincho" w:hAnsi="MS Mincho" w:cs="MS Mincho" w:hint="eastAsia"/>
        </w:rPr>
        <w:t xml:space="preserve"> </w:t>
      </w:r>
      <w:r w:rsidR="002A40BE" w:rsidRPr="006C716C">
        <w:rPr>
          <w:rFonts w:hint="eastAsia"/>
        </w:rPr>
        <w:t>cm</w:t>
      </w:r>
      <w:r w:rsidR="002A40BE">
        <w:rPr>
          <w:rFonts w:hAnsi="宋体" w:hint="eastAsia"/>
        </w:rPr>
        <w:t>～</w:t>
      </w:r>
      <w:r w:rsidRPr="006C716C">
        <w:rPr>
          <w:rFonts w:hint="eastAsia"/>
        </w:rPr>
        <w:t>30</w:t>
      </w:r>
      <w:r w:rsidR="002A40BE">
        <w:t xml:space="preserve"> </w:t>
      </w:r>
      <w:r w:rsidRPr="006C716C">
        <w:rPr>
          <w:rFonts w:hint="eastAsia"/>
        </w:rPr>
        <w:t>cm。</w:t>
      </w:r>
    </w:p>
    <w:p w:rsidR="002A40BE" w:rsidRDefault="002A40BE" w:rsidP="002A40BE">
      <w:pPr>
        <w:pStyle w:val="affd"/>
        <w:spacing w:before="156" w:after="156"/>
      </w:pPr>
      <w:r w:rsidRPr="002A40BE">
        <w:rPr>
          <w:rFonts w:hint="eastAsia"/>
        </w:rPr>
        <w:t>播深与行距</w:t>
      </w:r>
    </w:p>
    <w:p w:rsidR="002A40BE" w:rsidRDefault="002A40BE" w:rsidP="002A40BE">
      <w:pPr>
        <w:pStyle w:val="affffb"/>
        <w:ind w:firstLine="420"/>
      </w:pPr>
      <w:r w:rsidRPr="002A40BE">
        <w:rPr>
          <w:rFonts w:hint="eastAsia"/>
        </w:rPr>
        <w:t>播种深度3</w:t>
      </w:r>
      <w:r w:rsidR="00403AC5">
        <w:t xml:space="preserve"> </w:t>
      </w:r>
      <w:r w:rsidR="00403AC5" w:rsidRPr="002A40BE">
        <w:rPr>
          <w:rFonts w:hint="eastAsia"/>
        </w:rPr>
        <w:t>cm</w:t>
      </w:r>
      <w:r w:rsidR="00403AC5">
        <w:rPr>
          <w:rFonts w:hAnsi="宋体" w:hint="eastAsia"/>
        </w:rPr>
        <w:t>～</w:t>
      </w:r>
      <w:r w:rsidRPr="002A40BE">
        <w:rPr>
          <w:rFonts w:hint="eastAsia"/>
        </w:rPr>
        <w:t>5</w:t>
      </w:r>
      <w:r w:rsidR="00403AC5">
        <w:t xml:space="preserve"> </w:t>
      </w:r>
      <w:r w:rsidRPr="002A40BE">
        <w:rPr>
          <w:rFonts w:hint="eastAsia"/>
        </w:rPr>
        <w:t>cm，墒情不足时加深至5</w:t>
      </w:r>
      <w:r w:rsidR="00403AC5">
        <w:t xml:space="preserve"> </w:t>
      </w:r>
      <w:r w:rsidR="00403AC5" w:rsidRPr="002A40BE">
        <w:rPr>
          <w:rFonts w:hint="eastAsia"/>
        </w:rPr>
        <w:t>cm</w:t>
      </w:r>
      <w:r w:rsidR="00403AC5">
        <w:rPr>
          <w:rFonts w:hAnsi="宋体" w:hint="eastAsia"/>
        </w:rPr>
        <w:t>～</w:t>
      </w:r>
      <w:r w:rsidRPr="002A40BE">
        <w:rPr>
          <w:rFonts w:hint="eastAsia"/>
        </w:rPr>
        <w:t>6</w:t>
      </w:r>
      <w:r w:rsidR="00403AC5">
        <w:t xml:space="preserve"> </w:t>
      </w:r>
      <w:r w:rsidRPr="002A40BE">
        <w:rPr>
          <w:rFonts w:hint="eastAsia"/>
        </w:rPr>
        <w:t>cm，与机械施肥配套，行距根据种肥同播机的种 类进行调整，播后镇压，墒情不足时补水。侧下方施肥推荐播种行距16</w:t>
      </w:r>
      <w:r w:rsidR="00403AC5">
        <w:t xml:space="preserve"> </w:t>
      </w:r>
      <w:r w:rsidR="00403AC5" w:rsidRPr="002A40BE">
        <w:rPr>
          <w:rFonts w:hint="eastAsia"/>
        </w:rPr>
        <w:t>cm</w:t>
      </w:r>
      <w:r w:rsidR="00403AC5">
        <w:rPr>
          <w:rFonts w:hAnsi="宋体" w:hint="eastAsia"/>
        </w:rPr>
        <w:t>～</w:t>
      </w:r>
      <w:r w:rsidRPr="002A40BE">
        <w:rPr>
          <w:rFonts w:hint="eastAsia"/>
        </w:rPr>
        <w:t>22</w:t>
      </w:r>
      <w:r w:rsidR="00403AC5">
        <w:t xml:space="preserve"> </w:t>
      </w:r>
      <w:r w:rsidRPr="002A40BE">
        <w:rPr>
          <w:rFonts w:hint="eastAsia"/>
        </w:rPr>
        <w:t>cm，正下方施肥推荐播种行距26</w:t>
      </w:r>
      <w:r w:rsidR="00403AC5">
        <w:t xml:space="preserve"> </w:t>
      </w:r>
      <w:r w:rsidR="00403AC5" w:rsidRPr="002A40BE">
        <w:rPr>
          <w:rFonts w:hint="eastAsia"/>
        </w:rPr>
        <w:t>cm</w:t>
      </w:r>
      <w:r w:rsidR="00403AC5">
        <w:rPr>
          <w:rFonts w:hAnsi="宋体" w:hint="eastAsia"/>
        </w:rPr>
        <w:t>～</w:t>
      </w:r>
      <w:r w:rsidRPr="002A40BE">
        <w:rPr>
          <w:rFonts w:hint="eastAsia"/>
        </w:rPr>
        <w:t>30</w:t>
      </w:r>
      <w:r w:rsidR="00403AC5">
        <w:t xml:space="preserve"> </w:t>
      </w:r>
      <w:r w:rsidRPr="002A40BE">
        <w:rPr>
          <w:rFonts w:hint="eastAsia"/>
        </w:rPr>
        <w:t>cm。</w:t>
      </w:r>
    </w:p>
    <w:p w:rsidR="002A40BE" w:rsidRDefault="002A40BE" w:rsidP="002A40BE">
      <w:pPr>
        <w:pStyle w:val="affc"/>
        <w:spacing w:before="312" w:after="312"/>
      </w:pPr>
      <w:r>
        <w:rPr>
          <w:rFonts w:hint="eastAsia"/>
        </w:rPr>
        <w:t>施肥技术</w:t>
      </w:r>
    </w:p>
    <w:p w:rsidR="002A40BE" w:rsidRDefault="002A40BE" w:rsidP="002A40BE">
      <w:pPr>
        <w:pStyle w:val="affd"/>
        <w:spacing w:before="156" w:after="156"/>
      </w:pPr>
      <w:r>
        <w:rPr>
          <w:rFonts w:hint="eastAsia"/>
        </w:rPr>
        <w:t>肥料选择</w:t>
      </w:r>
    </w:p>
    <w:p w:rsidR="002A40BE" w:rsidRDefault="002A40BE" w:rsidP="002A40BE">
      <w:pPr>
        <w:pStyle w:val="affe"/>
        <w:spacing w:before="156" w:after="156"/>
      </w:pPr>
      <w:r>
        <w:rPr>
          <w:rFonts w:hint="eastAsia"/>
        </w:rPr>
        <w:t>机施肥料要求</w:t>
      </w:r>
    </w:p>
    <w:p w:rsidR="002A40BE" w:rsidRDefault="002A40BE" w:rsidP="002A40BE">
      <w:pPr>
        <w:pStyle w:val="affffb"/>
        <w:ind w:firstLine="420"/>
      </w:pPr>
      <w:r w:rsidRPr="002A40BE">
        <w:rPr>
          <w:rFonts w:hint="eastAsia"/>
        </w:rPr>
        <w:t>选用吸湿性较弱、无结块、硬度不小于15N的优质颗粒肥，颗粒均匀，直径2</w:t>
      </w:r>
      <w:r w:rsidR="00403AC5">
        <w:t xml:space="preserve"> </w:t>
      </w:r>
      <w:r w:rsidR="00403AC5" w:rsidRPr="002A40BE">
        <w:rPr>
          <w:rFonts w:hint="eastAsia"/>
        </w:rPr>
        <w:t>mm</w:t>
      </w:r>
      <w:r w:rsidR="00403AC5">
        <w:rPr>
          <w:rFonts w:hAnsi="宋体" w:hint="eastAsia"/>
        </w:rPr>
        <w:t>～</w:t>
      </w:r>
      <w:r w:rsidRPr="002A40BE">
        <w:rPr>
          <w:rFonts w:hint="eastAsia"/>
        </w:rPr>
        <w:t>5</w:t>
      </w:r>
      <w:r w:rsidR="00403AC5">
        <w:t xml:space="preserve"> </w:t>
      </w:r>
      <w:r w:rsidRPr="002A40BE">
        <w:rPr>
          <w:rFonts w:hint="eastAsia"/>
        </w:rPr>
        <w:t>mm，颗粒度不小于90%；符合小麦养分需求氮磷钾配比。</w:t>
      </w:r>
    </w:p>
    <w:p w:rsidR="002A40BE" w:rsidRDefault="00A76B5C" w:rsidP="00A76B5C">
      <w:pPr>
        <w:pStyle w:val="affe"/>
        <w:spacing w:before="156" w:after="156"/>
      </w:pPr>
      <w:r w:rsidRPr="00A76B5C">
        <w:rPr>
          <w:rFonts w:hint="eastAsia"/>
        </w:rPr>
        <w:t>肥料品种</w:t>
      </w:r>
    </w:p>
    <w:p w:rsidR="00A76B5C" w:rsidRDefault="00A76B5C" w:rsidP="00A76B5C">
      <w:pPr>
        <w:pStyle w:val="affffb"/>
        <w:ind w:firstLine="420"/>
      </w:pPr>
      <w:r w:rsidRPr="00A76B5C">
        <w:rPr>
          <w:rFonts w:hint="eastAsia"/>
        </w:rPr>
        <w:lastRenderedPageBreak/>
        <w:t>控释肥料须符合 GB/T 21633、HB/T 4215规定。</w:t>
      </w:r>
    </w:p>
    <w:p w:rsidR="00A76B5C" w:rsidRDefault="00A76B5C" w:rsidP="00A76B5C">
      <w:pPr>
        <w:pStyle w:val="affd"/>
        <w:spacing w:before="156" w:after="156"/>
      </w:pPr>
      <w:r>
        <w:rPr>
          <w:rFonts w:hint="eastAsia"/>
        </w:rPr>
        <w:t>施肥量</w:t>
      </w:r>
    </w:p>
    <w:p w:rsidR="00A76B5C" w:rsidRDefault="00A76B5C" w:rsidP="00A76B5C">
      <w:pPr>
        <w:pStyle w:val="affffb"/>
        <w:ind w:firstLine="420"/>
      </w:pPr>
      <w:r w:rsidRPr="00A76B5C">
        <w:rPr>
          <w:rFonts w:hint="eastAsia"/>
        </w:rPr>
        <w:t>根据土壤化验结果，亩施</w:t>
      </w:r>
      <w:bookmarkStart w:id="44" w:name="_GoBack"/>
      <w:bookmarkEnd w:id="44"/>
      <w:r w:rsidRPr="00A76B5C">
        <w:rPr>
          <w:rFonts w:hint="eastAsia"/>
        </w:rPr>
        <w:t>15</w:t>
      </w:r>
      <w:r w:rsidR="00974F9A">
        <w:t xml:space="preserve"> </w:t>
      </w:r>
      <w:r w:rsidR="00974F9A" w:rsidRPr="00A76B5C">
        <w:rPr>
          <w:rFonts w:hint="eastAsia"/>
        </w:rPr>
        <w:t>kg</w:t>
      </w:r>
      <w:r w:rsidR="00974F9A">
        <w:rPr>
          <w:rFonts w:hint="eastAsia"/>
          <w:spacing w:val="2"/>
          <w:szCs w:val="21"/>
        </w:rPr>
        <w:t>～</w:t>
      </w:r>
      <w:r w:rsidRPr="00A76B5C">
        <w:rPr>
          <w:rFonts w:hint="eastAsia"/>
        </w:rPr>
        <w:t>17</w:t>
      </w:r>
      <w:r w:rsidR="00974F9A">
        <w:t xml:space="preserve"> </w:t>
      </w:r>
      <w:r w:rsidRPr="00A76B5C">
        <w:rPr>
          <w:rFonts w:hint="eastAsia"/>
        </w:rPr>
        <w:t>kg纯氮，磷、钾肥料参考下列指标核算。</w:t>
      </w:r>
    </w:p>
    <w:p w:rsidR="00A76B5C" w:rsidRDefault="00A76B5C" w:rsidP="00A76B5C">
      <w:pPr>
        <w:pStyle w:val="aff2"/>
        <w:spacing w:before="156" w:after="156"/>
        <w:rPr>
          <w:rFonts w:hint="eastAsia"/>
        </w:rPr>
      </w:pPr>
      <w:r w:rsidRPr="00A76B5C">
        <w:rPr>
          <w:rFonts w:hint="eastAsia"/>
        </w:rPr>
        <w:t>基于土壤养分结果的磷肥、钾肥推荐用量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A76B5C" w:rsidTr="00A67C04">
        <w:trPr>
          <w:tblHeader/>
          <w:jc w:val="center"/>
        </w:trPr>
        <w:tc>
          <w:tcPr>
            <w:tcW w:w="2334" w:type="dxa"/>
            <w:tcBorders>
              <w:top w:val="single" w:sz="8" w:space="0" w:color="auto"/>
              <w:bottom w:val="single" w:sz="8" w:space="0" w:color="auto"/>
            </w:tcBorders>
            <w:shd w:val="clear" w:color="auto" w:fill="auto"/>
          </w:tcPr>
          <w:p w:rsidR="00A76B5C" w:rsidRDefault="00A76B5C" w:rsidP="00A76B5C">
            <w:pPr>
              <w:pStyle w:val="TableText"/>
              <w:topLinePunct/>
              <w:spacing w:before="93"/>
              <w:jc w:val="center"/>
              <w:rPr>
                <w:rFonts w:ascii="Times New Roman" w:hAnsi="Times New Roman" w:cs="Times New Roman"/>
                <w:sz w:val="21"/>
                <w:szCs w:val="21"/>
              </w:rPr>
            </w:pPr>
            <w:r>
              <w:rPr>
                <w:rFonts w:cs="Times New Roman"/>
                <w:spacing w:val="8"/>
                <w:sz w:val="21"/>
                <w:szCs w:val="21"/>
              </w:rPr>
              <w:t>土壤有效磷含量</w:t>
            </w:r>
          </w:p>
          <w:p w:rsidR="00A76B5C" w:rsidRDefault="00A76B5C" w:rsidP="00A76B5C">
            <w:pPr>
              <w:pStyle w:val="TableText"/>
              <w:topLinePunct/>
              <w:spacing w:before="65"/>
              <w:jc w:val="center"/>
              <w:rPr>
                <w:rFonts w:ascii="Times New Roman" w:hAnsi="Times New Roman" w:cs="Times New Roman"/>
                <w:sz w:val="21"/>
                <w:szCs w:val="21"/>
              </w:rPr>
            </w:pPr>
            <w:r>
              <w:rPr>
                <w:rFonts w:cs="Times New Roman"/>
                <w:spacing w:val="4"/>
                <w:sz w:val="21"/>
                <w:szCs w:val="21"/>
              </w:rPr>
              <w:t>（</w:t>
            </w:r>
            <w:r>
              <w:rPr>
                <w:rFonts w:ascii="Times New Roman" w:hAnsi="Times New Roman" w:cs="Times New Roman"/>
                <w:sz w:val="21"/>
                <w:szCs w:val="21"/>
              </w:rPr>
              <w:t>mg</w:t>
            </w:r>
            <w:r>
              <w:rPr>
                <w:rFonts w:ascii="Times New Roman" w:hAnsi="Times New Roman" w:cs="Times New Roman"/>
                <w:spacing w:val="4"/>
                <w:sz w:val="21"/>
                <w:szCs w:val="21"/>
              </w:rPr>
              <w:t>/</w:t>
            </w:r>
            <w:r>
              <w:rPr>
                <w:rFonts w:ascii="Times New Roman" w:hAnsi="Times New Roman" w:cs="Times New Roman"/>
                <w:sz w:val="21"/>
                <w:szCs w:val="21"/>
              </w:rPr>
              <w:t>kg</w:t>
            </w:r>
            <w:r>
              <w:rPr>
                <w:rFonts w:cs="Times New Roman"/>
                <w:spacing w:val="4"/>
                <w:sz w:val="21"/>
                <w:szCs w:val="21"/>
              </w:rPr>
              <w:t>）</w:t>
            </w:r>
          </w:p>
        </w:tc>
        <w:tc>
          <w:tcPr>
            <w:tcW w:w="2333" w:type="dxa"/>
            <w:tcBorders>
              <w:top w:val="single" w:sz="8" w:space="0" w:color="auto"/>
              <w:bottom w:val="single" w:sz="8" w:space="0" w:color="auto"/>
            </w:tcBorders>
            <w:shd w:val="clear" w:color="auto" w:fill="auto"/>
          </w:tcPr>
          <w:p w:rsidR="00A76B5C" w:rsidRDefault="00A76B5C" w:rsidP="00A76B5C">
            <w:pPr>
              <w:pStyle w:val="TableText"/>
              <w:topLinePunct/>
              <w:spacing w:before="93"/>
              <w:jc w:val="center"/>
              <w:rPr>
                <w:rFonts w:ascii="Times New Roman" w:hAnsi="Times New Roman" w:cs="Times New Roman"/>
                <w:sz w:val="21"/>
                <w:szCs w:val="21"/>
              </w:rPr>
            </w:pPr>
            <w:r>
              <w:rPr>
                <w:rFonts w:cs="Times New Roman"/>
                <w:spacing w:val="4"/>
                <w:sz w:val="21"/>
                <w:szCs w:val="21"/>
              </w:rPr>
              <w:t>推荐</w:t>
            </w:r>
            <w:r>
              <w:rPr>
                <w:rFonts w:ascii="Times New Roman" w:hAnsi="Times New Roman" w:cs="Times New Roman"/>
                <w:spacing w:val="4"/>
                <w:sz w:val="21"/>
                <w:szCs w:val="21"/>
              </w:rPr>
              <w:t>P</w:t>
            </w:r>
            <w:r>
              <w:rPr>
                <w:rFonts w:ascii="Times New Roman" w:hAnsi="Times New Roman" w:cs="Times New Roman"/>
                <w:spacing w:val="4"/>
                <w:sz w:val="21"/>
                <w:szCs w:val="21"/>
                <w:vertAlign w:val="subscript"/>
              </w:rPr>
              <w:t>2</w:t>
            </w:r>
            <w:r>
              <w:rPr>
                <w:rFonts w:ascii="Times New Roman" w:hAnsi="Times New Roman" w:cs="Times New Roman"/>
                <w:spacing w:val="4"/>
                <w:sz w:val="21"/>
                <w:szCs w:val="21"/>
              </w:rPr>
              <w:t>O</w:t>
            </w:r>
            <w:r>
              <w:rPr>
                <w:rFonts w:ascii="Times New Roman" w:hAnsi="Times New Roman" w:cs="Times New Roman"/>
                <w:spacing w:val="4"/>
                <w:sz w:val="21"/>
                <w:szCs w:val="21"/>
                <w:vertAlign w:val="subscript"/>
              </w:rPr>
              <w:t>5</w:t>
            </w:r>
            <w:r>
              <w:rPr>
                <w:rFonts w:cs="Times New Roman"/>
                <w:spacing w:val="4"/>
                <w:sz w:val="21"/>
                <w:szCs w:val="21"/>
              </w:rPr>
              <w:t>施用量</w:t>
            </w:r>
          </w:p>
          <w:p w:rsidR="00A76B5C" w:rsidRDefault="00A76B5C" w:rsidP="00A76B5C">
            <w:pPr>
              <w:pStyle w:val="TableText"/>
              <w:topLinePunct/>
              <w:spacing w:before="64"/>
              <w:jc w:val="center"/>
              <w:rPr>
                <w:rFonts w:ascii="Times New Roman" w:hAnsi="Times New Roman" w:cs="Times New Roman"/>
                <w:sz w:val="21"/>
                <w:szCs w:val="21"/>
              </w:rPr>
            </w:pPr>
            <w:r>
              <w:rPr>
                <w:rFonts w:cs="Times New Roman"/>
                <w:spacing w:val="-1"/>
                <w:sz w:val="21"/>
                <w:szCs w:val="21"/>
              </w:rPr>
              <w:t>（</w:t>
            </w:r>
            <w:r>
              <w:rPr>
                <w:rFonts w:ascii="Times New Roman" w:hAnsi="Times New Roman" w:cs="Times New Roman"/>
                <w:spacing w:val="-1"/>
                <w:sz w:val="21"/>
                <w:szCs w:val="21"/>
              </w:rPr>
              <w:t>/667</w:t>
            </w:r>
            <w:r>
              <w:rPr>
                <w:rFonts w:ascii="Times New Roman" w:hAnsi="Times New Roman" w:cs="Times New Roman"/>
                <w:spacing w:val="-32"/>
                <w:sz w:val="21"/>
                <w:szCs w:val="21"/>
              </w:rPr>
              <w:t xml:space="preserve"> </w:t>
            </w:r>
            <w:r>
              <w:rPr>
                <w:rFonts w:cs="Times New Roman"/>
                <w:spacing w:val="-32"/>
                <w:sz w:val="21"/>
                <w:szCs w:val="21"/>
              </w:rPr>
              <w:t>㎡</w:t>
            </w:r>
            <w:r>
              <w:rPr>
                <w:rFonts w:cs="Times New Roman"/>
                <w:spacing w:val="-1"/>
                <w:sz w:val="21"/>
                <w:szCs w:val="21"/>
              </w:rPr>
              <w:t>）</w:t>
            </w:r>
          </w:p>
        </w:tc>
        <w:tc>
          <w:tcPr>
            <w:tcW w:w="2333" w:type="dxa"/>
            <w:tcBorders>
              <w:top w:val="single" w:sz="8" w:space="0" w:color="auto"/>
              <w:bottom w:val="single" w:sz="8" w:space="0" w:color="auto"/>
            </w:tcBorders>
            <w:shd w:val="clear" w:color="auto" w:fill="auto"/>
          </w:tcPr>
          <w:p w:rsidR="00A76B5C" w:rsidRDefault="00A76B5C" w:rsidP="00A76B5C">
            <w:pPr>
              <w:pStyle w:val="TableText"/>
              <w:topLinePunct/>
              <w:spacing w:before="93"/>
              <w:jc w:val="center"/>
              <w:rPr>
                <w:rFonts w:ascii="Times New Roman" w:hAnsi="Times New Roman" w:cs="Times New Roman"/>
                <w:sz w:val="21"/>
                <w:szCs w:val="21"/>
              </w:rPr>
            </w:pPr>
            <w:r>
              <w:rPr>
                <w:rFonts w:cs="Times New Roman"/>
                <w:spacing w:val="8"/>
                <w:sz w:val="21"/>
                <w:szCs w:val="21"/>
              </w:rPr>
              <w:t>土壤速效钾含量</w:t>
            </w:r>
          </w:p>
          <w:p w:rsidR="00A76B5C" w:rsidRDefault="00A76B5C" w:rsidP="00A76B5C">
            <w:pPr>
              <w:pStyle w:val="TableText"/>
              <w:topLinePunct/>
              <w:spacing w:before="65"/>
              <w:jc w:val="center"/>
              <w:rPr>
                <w:rFonts w:ascii="Times New Roman" w:hAnsi="Times New Roman" w:cs="Times New Roman"/>
                <w:sz w:val="21"/>
                <w:szCs w:val="21"/>
              </w:rPr>
            </w:pPr>
            <w:r>
              <w:rPr>
                <w:rFonts w:cs="Times New Roman"/>
                <w:spacing w:val="5"/>
                <w:sz w:val="21"/>
                <w:szCs w:val="21"/>
              </w:rPr>
              <w:t>（</w:t>
            </w:r>
            <w:r>
              <w:rPr>
                <w:rFonts w:ascii="Times New Roman" w:hAnsi="Times New Roman" w:cs="Times New Roman"/>
                <w:sz w:val="21"/>
                <w:szCs w:val="21"/>
              </w:rPr>
              <w:t>mg</w:t>
            </w:r>
            <w:r>
              <w:rPr>
                <w:rFonts w:ascii="Times New Roman" w:hAnsi="Times New Roman" w:cs="Times New Roman"/>
                <w:spacing w:val="5"/>
                <w:sz w:val="21"/>
                <w:szCs w:val="21"/>
              </w:rPr>
              <w:t>/</w:t>
            </w:r>
            <w:r>
              <w:rPr>
                <w:rFonts w:ascii="Times New Roman" w:hAnsi="Times New Roman" w:cs="Times New Roman"/>
                <w:sz w:val="21"/>
                <w:szCs w:val="21"/>
              </w:rPr>
              <w:t>kg</w:t>
            </w:r>
            <w:r>
              <w:rPr>
                <w:rFonts w:cs="Times New Roman"/>
                <w:spacing w:val="5"/>
                <w:sz w:val="21"/>
                <w:szCs w:val="21"/>
              </w:rPr>
              <w:t>）</w:t>
            </w:r>
          </w:p>
        </w:tc>
        <w:tc>
          <w:tcPr>
            <w:tcW w:w="2334" w:type="dxa"/>
            <w:tcBorders>
              <w:top w:val="single" w:sz="8" w:space="0" w:color="auto"/>
              <w:bottom w:val="single" w:sz="8" w:space="0" w:color="auto"/>
            </w:tcBorders>
            <w:shd w:val="clear" w:color="auto" w:fill="auto"/>
          </w:tcPr>
          <w:p w:rsidR="00A76B5C" w:rsidRDefault="00A76B5C" w:rsidP="00A76B5C">
            <w:pPr>
              <w:pStyle w:val="TableText"/>
              <w:topLinePunct/>
              <w:spacing w:before="94"/>
              <w:jc w:val="center"/>
              <w:rPr>
                <w:rFonts w:ascii="Times New Roman" w:hAnsi="Times New Roman" w:cs="Times New Roman"/>
                <w:sz w:val="21"/>
                <w:szCs w:val="21"/>
              </w:rPr>
            </w:pPr>
            <w:r>
              <w:rPr>
                <w:rFonts w:cs="Times New Roman"/>
                <w:spacing w:val="4"/>
                <w:sz w:val="21"/>
                <w:szCs w:val="21"/>
              </w:rPr>
              <w:t>推荐</w:t>
            </w:r>
            <w:r>
              <w:rPr>
                <w:rFonts w:ascii="Times New Roman" w:hAnsi="Times New Roman" w:cs="Times New Roman"/>
                <w:spacing w:val="4"/>
                <w:sz w:val="21"/>
                <w:szCs w:val="21"/>
              </w:rPr>
              <w:t>K</w:t>
            </w:r>
            <w:r>
              <w:rPr>
                <w:rFonts w:ascii="Times New Roman" w:hAnsi="Times New Roman" w:cs="Times New Roman"/>
                <w:spacing w:val="4"/>
                <w:sz w:val="21"/>
                <w:szCs w:val="21"/>
                <w:vertAlign w:val="subscript"/>
              </w:rPr>
              <w:t>2</w:t>
            </w:r>
            <w:r>
              <w:rPr>
                <w:rFonts w:ascii="Times New Roman" w:hAnsi="Times New Roman" w:cs="Times New Roman"/>
                <w:spacing w:val="4"/>
                <w:sz w:val="21"/>
                <w:szCs w:val="21"/>
              </w:rPr>
              <w:t>O</w:t>
            </w:r>
            <w:r>
              <w:rPr>
                <w:rFonts w:ascii="Times New Roman" w:hAnsi="Times New Roman" w:cs="Times New Roman"/>
                <w:spacing w:val="-41"/>
                <w:sz w:val="21"/>
                <w:szCs w:val="21"/>
              </w:rPr>
              <w:t xml:space="preserve"> </w:t>
            </w:r>
            <w:r>
              <w:rPr>
                <w:rFonts w:cs="Times New Roman"/>
                <w:spacing w:val="4"/>
                <w:sz w:val="21"/>
                <w:szCs w:val="21"/>
              </w:rPr>
              <w:t>施用量</w:t>
            </w:r>
          </w:p>
          <w:p w:rsidR="00A76B5C" w:rsidRDefault="00A76B5C" w:rsidP="00A76B5C">
            <w:pPr>
              <w:pStyle w:val="TableText"/>
              <w:topLinePunct/>
              <w:spacing w:before="71"/>
              <w:jc w:val="center"/>
              <w:rPr>
                <w:rFonts w:ascii="Times New Roman" w:hAnsi="Times New Roman" w:cs="Times New Roman"/>
                <w:sz w:val="21"/>
                <w:szCs w:val="21"/>
              </w:rPr>
            </w:pPr>
            <w:r>
              <w:rPr>
                <w:rFonts w:cs="Times New Roman"/>
                <w:spacing w:val="-1"/>
                <w:sz w:val="21"/>
                <w:szCs w:val="21"/>
              </w:rPr>
              <w:t>（</w:t>
            </w:r>
            <w:r>
              <w:rPr>
                <w:rFonts w:ascii="Times New Roman" w:hAnsi="Times New Roman" w:cs="Times New Roman"/>
                <w:spacing w:val="-1"/>
                <w:sz w:val="21"/>
                <w:szCs w:val="21"/>
              </w:rPr>
              <w:t xml:space="preserve">/667 </w:t>
            </w:r>
            <w:r>
              <w:rPr>
                <w:rFonts w:cs="Times New Roman"/>
                <w:spacing w:val="-32"/>
                <w:sz w:val="21"/>
                <w:szCs w:val="21"/>
              </w:rPr>
              <w:t>㎡</w:t>
            </w:r>
            <w:r>
              <w:rPr>
                <w:rFonts w:cs="Times New Roman"/>
                <w:spacing w:val="-1"/>
                <w:sz w:val="21"/>
                <w:szCs w:val="21"/>
              </w:rPr>
              <w:t>）</w:t>
            </w:r>
          </w:p>
        </w:tc>
      </w:tr>
      <w:tr w:rsidR="00A76B5C" w:rsidTr="00A67C04">
        <w:trPr>
          <w:jc w:val="center"/>
        </w:trPr>
        <w:tc>
          <w:tcPr>
            <w:tcW w:w="2334" w:type="dxa"/>
            <w:tcBorders>
              <w:top w:val="single" w:sz="8" w:space="0" w:color="auto"/>
            </w:tcBorders>
            <w:shd w:val="clear" w:color="auto" w:fill="auto"/>
          </w:tcPr>
          <w:p w:rsidR="00A76B5C" w:rsidRDefault="00A76B5C" w:rsidP="00A76B5C">
            <w:pPr>
              <w:pStyle w:val="TableText"/>
              <w:topLinePunct/>
              <w:spacing w:before="54"/>
              <w:jc w:val="center"/>
              <w:rPr>
                <w:rFonts w:ascii="Times New Roman" w:hAnsi="Times New Roman" w:cs="Times New Roman"/>
                <w:sz w:val="21"/>
                <w:szCs w:val="21"/>
              </w:rPr>
            </w:pPr>
            <w:r>
              <w:rPr>
                <w:rFonts w:cs="Times New Roman"/>
                <w:spacing w:val="-6"/>
                <w:sz w:val="21"/>
                <w:szCs w:val="21"/>
              </w:rPr>
              <w:t>＜</w:t>
            </w:r>
            <w:r>
              <w:rPr>
                <w:rFonts w:ascii="Times New Roman" w:hAnsi="Times New Roman" w:cs="Times New Roman"/>
                <w:spacing w:val="-6"/>
                <w:sz w:val="21"/>
                <w:szCs w:val="21"/>
              </w:rPr>
              <w:t>8</w:t>
            </w:r>
          </w:p>
        </w:tc>
        <w:tc>
          <w:tcPr>
            <w:tcW w:w="2333" w:type="dxa"/>
            <w:tcBorders>
              <w:top w:val="single" w:sz="8" w:space="0" w:color="auto"/>
            </w:tcBorders>
            <w:shd w:val="clear" w:color="auto" w:fill="auto"/>
          </w:tcPr>
          <w:p w:rsidR="00A76B5C" w:rsidRDefault="00A76B5C" w:rsidP="00A76B5C">
            <w:pPr>
              <w:pStyle w:val="TableText"/>
              <w:topLinePunct/>
              <w:spacing w:before="83"/>
              <w:jc w:val="center"/>
              <w:rPr>
                <w:rFonts w:ascii="Times New Roman" w:hAnsi="Times New Roman" w:cs="Times New Roman"/>
                <w:sz w:val="21"/>
                <w:szCs w:val="21"/>
              </w:rPr>
            </w:pPr>
            <w:r>
              <w:rPr>
                <w:rFonts w:ascii="Times New Roman" w:hAnsi="Times New Roman" w:cs="Times New Roman"/>
                <w:spacing w:val="-5"/>
                <w:sz w:val="21"/>
                <w:szCs w:val="21"/>
              </w:rPr>
              <w:t>11</w:t>
            </w:r>
            <w:r w:rsidR="00974F9A">
              <w:rPr>
                <w:rFonts w:cs="Times New Roman" w:hint="eastAsia"/>
                <w:spacing w:val="2"/>
                <w:sz w:val="21"/>
                <w:szCs w:val="21"/>
              </w:rPr>
              <w:t>～</w:t>
            </w:r>
            <w:r>
              <w:rPr>
                <w:rFonts w:ascii="Times New Roman" w:hAnsi="Times New Roman" w:cs="Times New Roman"/>
                <w:spacing w:val="-5"/>
                <w:sz w:val="21"/>
                <w:szCs w:val="21"/>
              </w:rPr>
              <w:t>13</w:t>
            </w:r>
          </w:p>
        </w:tc>
        <w:tc>
          <w:tcPr>
            <w:tcW w:w="2333" w:type="dxa"/>
            <w:tcBorders>
              <w:top w:val="single" w:sz="8" w:space="0" w:color="auto"/>
            </w:tcBorders>
            <w:shd w:val="clear" w:color="auto" w:fill="auto"/>
          </w:tcPr>
          <w:p w:rsidR="00A76B5C" w:rsidRDefault="00A76B5C" w:rsidP="00A76B5C">
            <w:pPr>
              <w:pStyle w:val="TableText"/>
              <w:topLinePunct/>
              <w:spacing w:before="54"/>
              <w:jc w:val="center"/>
              <w:rPr>
                <w:rFonts w:ascii="Times New Roman" w:hAnsi="Times New Roman" w:cs="Times New Roman"/>
                <w:sz w:val="21"/>
                <w:szCs w:val="21"/>
              </w:rPr>
            </w:pPr>
            <w:r>
              <w:rPr>
                <w:rFonts w:cs="Times New Roman"/>
                <w:spacing w:val="-2"/>
                <w:sz w:val="21"/>
                <w:szCs w:val="21"/>
              </w:rPr>
              <w:t>＜</w:t>
            </w:r>
            <w:r>
              <w:rPr>
                <w:rFonts w:ascii="Times New Roman" w:hAnsi="Times New Roman" w:cs="Times New Roman"/>
                <w:spacing w:val="-2"/>
                <w:sz w:val="21"/>
                <w:szCs w:val="21"/>
              </w:rPr>
              <w:t>50</w:t>
            </w:r>
          </w:p>
        </w:tc>
        <w:tc>
          <w:tcPr>
            <w:tcW w:w="2334" w:type="dxa"/>
            <w:tcBorders>
              <w:top w:val="single" w:sz="8" w:space="0" w:color="auto"/>
            </w:tcBorders>
            <w:shd w:val="clear" w:color="auto" w:fill="auto"/>
          </w:tcPr>
          <w:p w:rsidR="00A76B5C" w:rsidRDefault="00A76B5C" w:rsidP="00A76B5C">
            <w:pPr>
              <w:pStyle w:val="TableText"/>
              <w:topLinePunct/>
              <w:spacing w:before="83"/>
              <w:jc w:val="center"/>
              <w:rPr>
                <w:rFonts w:ascii="Times New Roman" w:hAnsi="Times New Roman" w:cs="Times New Roman"/>
                <w:sz w:val="21"/>
                <w:szCs w:val="21"/>
              </w:rPr>
            </w:pPr>
            <w:r>
              <w:rPr>
                <w:rFonts w:ascii="Times New Roman" w:hAnsi="Times New Roman" w:cs="Times New Roman"/>
                <w:spacing w:val="-5"/>
                <w:sz w:val="21"/>
                <w:szCs w:val="21"/>
              </w:rPr>
              <w:t>12</w:t>
            </w:r>
            <w:r w:rsidR="00974F9A">
              <w:rPr>
                <w:rFonts w:cs="Times New Roman" w:hint="eastAsia"/>
                <w:spacing w:val="2"/>
                <w:sz w:val="21"/>
                <w:szCs w:val="21"/>
              </w:rPr>
              <w:t>～</w:t>
            </w:r>
            <w:r>
              <w:rPr>
                <w:rFonts w:ascii="Times New Roman" w:hAnsi="Times New Roman" w:cs="Times New Roman"/>
                <w:spacing w:val="-5"/>
                <w:sz w:val="21"/>
                <w:szCs w:val="21"/>
              </w:rPr>
              <w:t>14</w:t>
            </w:r>
          </w:p>
        </w:tc>
      </w:tr>
      <w:tr w:rsidR="00A76B5C" w:rsidTr="00A67C04">
        <w:trPr>
          <w:jc w:val="center"/>
        </w:trPr>
        <w:tc>
          <w:tcPr>
            <w:tcW w:w="2334" w:type="dxa"/>
            <w:shd w:val="clear" w:color="auto" w:fill="auto"/>
          </w:tcPr>
          <w:p w:rsidR="00A76B5C" w:rsidRDefault="00A76B5C" w:rsidP="00974F9A">
            <w:pPr>
              <w:pStyle w:val="TableText"/>
              <w:topLinePunct/>
              <w:spacing w:before="86"/>
              <w:jc w:val="center"/>
              <w:rPr>
                <w:rFonts w:ascii="Times New Roman" w:hAnsi="Times New Roman" w:cs="Times New Roman"/>
                <w:sz w:val="21"/>
                <w:szCs w:val="21"/>
              </w:rPr>
            </w:pPr>
            <w:r>
              <w:rPr>
                <w:rFonts w:ascii="Times New Roman" w:hAnsi="Times New Roman" w:cs="Times New Roman"/>
                <w:spacing w:val="2"/>
                <w:sz w:val="21"/>
                <w:szCs w:val="21"/>
              </w:rPr>
              <w:t>8</w:t>
            </w:r>
            <w:r w:rsidR="00974F9A">
              <w:rPr>
                <w:rFonts w:cs="Times New Roman" w:hint="eastAsia"/>
                <w:spacing w:val="2"/>
                <w:sz w:val="21"/>
                <w:szCs w:val="21"/>
              </w:rPr>
              <w:t>～</w:t>
            </w:r>
            <w:r>
              <w:rPr>
                <w:rFonts w:ascii="Times New Roman" w:hAnsi="Times New Roman" w:cs="Times New Roman"/>
                <w:spacing w:val="2"/>
                <w:sz w:val="21"/>
                <w:szCs w:val="21"/>
              </w:rPr>
              <w:t>16</w:t>
            </w:r>
          </w:p>
        </w:tc>
        <w:tc>
          <w:tcPr>
            <w:tcW w:w="2333" w:type="dxa"/>
            <w:shd w:val="clear" w:color="auto" w:fill="auto"/>
          </w:tcPr>
          <w:p w:rsidR="00A76B5C" w:rsidRDefault="00A76B5C" w:rsidP="00A76B5C">
            <w:pPr>
              <w:pStyle w:val="TableText"/>
              <w:topLinePunct/>
              <w:spacing w:before="83"/>
              <w:jc w:val="center"/>
              <w:rPr>
                <w:rFonts w:ascii="Times New Roman" w:hAnsi="Times New Roman" w:cs="Times New Roman"/>
                <w:sz w:val="21"/>
                <w:szCs w:val="21"/>
              </w:rPr>
            </w:pPr>
            <w:r>
              <w:rPr>
                <w:rFonts w:ascii="Times New Roman" w:hAnsi="Times New Roman" w:cs="Times New Roman"/>
                <w:spacing w:val="-2"/>
                <w:sz w:val="21"/>
                <w:szCs w:val="21"/>
              </w:rPr>
              <w:t>9</w:t>
            </w:r>
            <w:r w:rsidR="00974F9A">
              <w:rPr>
                <w:rFonts w:cs="Times New Roman" w:hint="eastAsia"/>
                <w:spacing w:val="2"/>
                <w:sz w:val="21"/>
                <w:szCs w:val="21"/>
              </w:rPr>
              <w:t>～</w:t>
            </w:r>
            <w:r>
              <w:rPr>
                <w:rFonts w:ascii="Times New Roman" w:hAnsi="Times New Roman" w:cs="Times New Roman"/>
                <w:spacing w:val="-2"/>
                <w:sz w:val="21"/>
                <w:szCs w:val="21"/>
              </w:rPr>
              <w:t>11</w:t>
            </w:r>
          </w:p>
        </w:tc>
        <w:tc>
          <w:tcPr>
            <w:tcW w:w="2333" w:type="dxa"/>
            <w:shd w:val="clear" w:color="auto" w:fill="auto"/>
          </w:tcPr>
          <w:p w:rsidR="00A76B5C" w:rsidRDefault="00A76B5C" w:rsidP="00A76B5C">
            <w:pPr>
              <w:pStyle w:val="TableText"/>
              <w:topLinePunct/>
              <w:spacing w:before="54"/>
              <w:jc w:val="center"/>
              <w:rPr>
                <w:rFonts w:ascii="Times New Roman" w:hAnsi="Times New Roman" w:cs="Times New Roman"/>
                <w:sz w:val="21"/>
                <w:szCs w:val="21"/>
              </w:rPr>
            </w:pPr>
            <w:r>
              <w:rPr>
                <w:rFonts w:ascii="Times New Roman" w:hAnsi="Times New Roman" w:cs="Times New Roman"/>
                <w:spacing w:val="3"/>
                <w:sz w:val="21"/>
                <w:szCs w:val="21"/>
              </w:rPr>
              <w:t>50</w:t>
            </w:r>
            <w:r>
              <w:rPr>
                <w:rFonts w:cs="Times New Roman"/>
                <w:spacing w:val="3"/>
                <w:sz w:val="21"/>
                <w:szCs w:val="21"/>
              </w:rPr>
              <w:t>＜</w:t>
            </w:r>
            <w:r>
              <w:rPr>
                <w:rFonts w:ascii="Times New Roman" w:hAnsi="Times New Roman" w:cs="Times New Roman"/>
                <w:spacing w:val="3"/>
                <w:sz w:val="21"/>
                <w:szCs w:val="21"/>
              </w:rPr>
              <w:t>90</w:t>
            </w:r>
          </w:p>
        </w:tc>
        <w:tc>
          <w:tcPr>
            <w:tcW w:w="2334" w:type="dxa"/>
            <w:shd w:val="clear" w:color="auto" w:fill="auto"/>
          </w:tcPr>
          <w:p w:rsidR="00A76B5C" w:rsidRDefault="00A76B5C" w:rsidP="00A76B5C">
            <w:pPr>
              <w:pStyle w:val="TableText"/>
              <w:topLinePunct/>
              <w:spacing w:before="83"/>
              <w:jc w:val="center"/>
              <w:rPr>
                <w:rFonts w:ascii="Times New Roman" w:hAnsi="Times New Roman" w:cs="Times New Roman"/>
                <w:sz w:val="21"/>
                <w:szCs w:val="21"/>
              </w:rPr>
            </w:pPr>
            <w:r>
              <w:rPr>
                <w:rFonts w:ascii="Times New Roman" w:hAnsi="Times New Roman" w:cs="Times New Roman"/>
                <w:spacing w:val="-2"/>
                <w:sz w:val="21"/>
                <w:szCs w:val="21"/>
              </w:rPr>
              <w:t>8</w:t>
            </w:r>
            <w:r w:rsidR="00974F9A">
              <w:rPr>
                <w:rFonts w:cs="Times New Roman" w:hint="eastAsia"/>
                <w:spacing w:val="2"/>
                <w:sz w:val="21"/>
                <w:szCs w:val="21"/>
              </w:rPr>
              <w:t>～</w:t>
            </w:r>
            <w:r>
              <w:rPr>
                <w:rFonts w:ascii="Times New Roman" w:hAnsi="Times New Roman" w:cs="Times New Roman"/>
                <w:spacing w:val="-2"/>
                <w:sz w:val="21"/>
                <w:szCs w:val="21"/>
              </w:rPr>
              <w:t>12</w:t>
            </w:r>
          </w:p>
        </w:tc>
      </w:tr>
      <w:tr w:rsidR="00A76B5C" w:rsidTr="00A67C04">
        <w:trPr>
          <w:jc w:val="center"/>
        </w:trPr>
        <w:tc>
          <w:tcPr>
            <w:tcW w:w="2334" w:type="dxa"/>
            <w:shd w:val="clear" w:color="auto" w:fill="auto"/>
          </w:tcPr>
          <w:p w:rsidR="00A76B5C" w:rsidRDefault="00A76B5C" w:rsidP="00A76B5C">
            <w:pPr>
              <w:pStyle w:val="TableText"/>
              <w:topLinePunct/>
              <w:spacing w:before="87"/>
              <w:jc w:val="center"/>
              <w:rPr>
                <w:rFonts w:ascii="Times New Roman" w:hAnsi="Times New Roman" w:cs="Times New Roman"/>
                <w:sz w:val="21"/>
                <w:szCs w:val="21"/>
              </w:rPr>
            </w:pPr>
            <w:r>
              <w:rPr>
                <w:rFonts w:ascii="Times New Roman" w:hAnsi="Times New Roman" w:cs="Times New Roman"/>
                <w:sz w:val="21"/>
                <w:szCs w:val="21"/>
              </w:rPr>
              <w:t>16</w:t>
            </w:r>
            <w:r w:rsidR="00974F9A">
              <w:rPr>
                <w:rFonts w:cs="Times New Roman" w:hint="eastAsia"/>
                <w:spacing w:val="2"/>
                <w:sz w:val="21"/>
                <w:szCs w:val="21"/>
              </w:rPr>
              <w:t>～</w:t>
            </w:r>
            <w:r>
              <w:rPr>
                <w:rFonts w:ascii="Times New Roman" w:hAnsi="Times New Roman" w:cs="Times New Roman"/>
                <w:sz w:val="21"/>
                <w:szCs w:val="21"/>
              </w:rPr>
              <w:t>28</w:t>
            </w:r>
          </w:p>
        </w:tc>
        <w:tc>
          <w:tcPr>
            <w:tcW w:w="2333" w:type="dxa"/>
            <w:shd w:val="clear" w:color="auto" w:fill="auto"/>
          </w:tcPr>
          <w:p w:rsidR="00A76B5C" w:rsidRDefault="00A76B5C" w:rsidP="00A76B5C">
            <w:pPr>
              <w:pStyle w:val="TableText"/>
              <w:topLinePunct/>
              <w:spacing w:before="84"/>
              <w:jc w:val="center"/>
              <w:rPr>
                <w:rFonts w:ascii="Times New Roman" w:hAnsi="Times New Roman" w:cs="Times New Roman"/>
                <w:sz w:val="21"/>
                <w:szCs w:val="21"/>
              </w:rPr>
            </w:pPr>
            <w:r>
              <w:rPr>
                <w:rFonts w:ascii="Times New Roman" w:hAnsi="Times New Roman" w:cs="Times New Roman"/>
                <w:spacing w:val="-5"/>
                <w:sz w:val="21"/>
                <w:szCs w:val="21"/>
              </w:rPr>
              <w:t>7</w:t>
            </w:r>
            <w:r w:rsidR="00974F9A">
              <w:rPr>
                <w:rFonts w:cs="Times New Roman" w:hint="eastAsia"/>
                <w:spacing w:val="2"/>
                <w:sz w:val="21"/>
                <w:szCs w:val="21"/>
              </w:rPr>
              <w:t>～</w:t>
            </w:r>
            <w:r>
              <w:rPr>
                <w:rFonts w:ascii="Times New Roman" w:hAnsi="Times New Roman" w:cs="Times New Roman"/>
                <w:spacing w:val="-5"/>
                <w:sz w:val="21"/>
                <w:szCs w:val="21"/>
              </w:rPr>
              <w:t>9</w:t>
            </w:r>
          </w:p>
        </w:tc>
        <w:tc>
          <w:tcPr>
            <w:tcW w:w="2333" w:type="dxa"/>
            <w:shd w:val="clear" w:color="auto" w:fill="auto"/>
          </w:tcPr>
          <w:p w:rsidR="00A76B5C" w:rsidRDefault="00A76B5C" w:rsidP="00A76B5C">
            <w:pPr>
              <w:pStyle w:val="TableText"/>
              <w:topLinePunct/>
              <w:spacing w:before="87"/>
              <w:jc w:val="center"/>
              <w:rPr>
                <w:rFonts w:ascii="Times New Roman" w:hAnsi="Times New Roman" w:cs="Times New Roman"/>
                <w:sz w:val="21"/>
                <w:szCs w:val="21"/>
              </w:rPr>
            </w:pPr>
            <w:r>
              <w:rPr>
                <w:rFonts w:ascii="Times New Roman" w:hAnsi="Times New Roman" w:cs="Times New Roman"/>
                <w:spacing w:val="3"/>
                <w:sz w:val="21"/>
                <w:szCs w:val="21"/>
              </w:rPr>
              <w:t>90</w:t>
            </w:r>
            <w:r w:rsidR="00974F9A">
              <w:rPr>
                <w:rFonts w:cs="Times New Roman" w:hint="eastAsia"/>
                <w:spacing w:val="2"/>
                <w:sz w:val="21"/>
                <w:szCs w:val="21"/>
              </w:rPr>
              <w:t>～</w:t>
            </w:r>
            <w:r>
              <w:rPr>
                <w:rFonts w:ascii="Times New Roman" w:hAnsi="Times New Roman" w:cs="Times New Roman"/>
                <w:spacing w:val="3"/>
                <w:sz w:val="21"/>
                <w:szCs w:val="21"/>
              </w:rPr>
              <w:t>130</w:t>
            </w:r>
          </w:p>
        </w:tc>
        <w:tc>
          <w:tcPr>
            <w:tcW w:w="2334" w:type="dxa"/>
            <w:shd w:val="clear" w:color="auto" w:fill="auto"/>
          </w:tcPr>
          <w:p w:rsidR="00A76B5C" w:rsidRDefault="00A76B5C" w:rsidP="00A76B5C">
            <w:pPr>
              <w:pStyle w:val="TableText"/>
              <w:topLinePunct/>
              <w:spacing w:before="84"/>
              <w:jc w:val="center"/>
              <w:rPr>
                <w:rFonts w:ascii="Times New Roman" w:hAnsi="Times New Roman" w:cs="Times New Roman"/>
                <w:sz w:val="21"/>
                <w:szCs w:val="21"/>
              </w:rPr>
            </w:pPr>
            <w:r>
              <w:rPr>
                <w:rFonts w:ascii="Times New Roman" w:hAnsi="Times New Roman" w:cs="Times New Roman"/>
                <w:spacing w:val="-3"/>
                <w:sz w:val="21"/>
                <w:szCs w:val="21"/>
              </w:rPr>
              <w:t>4</w:t>
            </w:r>
            <w:r w:rsidR="00974F9A">
              <w:rPr>
                <w:rFonts w:cs="Times New Roman" w:hint="eastAsia"/>
                <w:spacing w:val="2"/>
                <w:sz w:val="21"/>
                <w:szCs w:val="21"/>
              </w:rPr>
              <w:t>～</w:t>
            </w:r>
            <w:r>
              <w:rPr>
                <w:rFonts w:ascii="Times New Roman" w:hAnsi="Times New Roman" w:cs="Times New Roman"/>
                <w:spacing w:val="-3"/>
                <w:sz w:val="21"/>
                <w:szCs w:val="21"/>
              </w:rPr>
              <w:t>8</w:t>
            </w:r>
          </w:p>
        </w:tc>
      </w:tr>
      <w:tr w:rsidR="00A76B5C" w:rsidTr="00A67C04">
        <w:trPr>
          <w:jc w:val="center"/>
        </w:trPr>
        <w:tc>
          <w:tcPr>
            <w:tcW w:w="2334" w:type="dxa"/>
            <w:shd w:val="clear" w:color="auto" w:fill="auto"/>
          </w:tcPr>
          <w:p w:rsidR="00A76B5C" w:rsidRDefault="00A76B5C" w:rsidP="00A76B5C">
            <w:pPr>
              <w:pStyle w:val="TableText"/>
              <w:topLinePunct/>
              <w:spacing w:before="56"/>
              <w:jc w:val="center"/>
              <w:rPr>
                <w:rFonts w:ascii="Times New Roman" w:hAnsi="Times New Roman" w:cs="Times New Roman"/>
                <w:sz w:val="21"/>
                <w:szCs w:val="21"/>
              </w:rPr>
            </w:pPr>
            <w:r>
              <w:rPr>
                <w:rFonts w:ascii="Times New Roman" w:hAnsi="Times New Roman" w:cs="Times New Roman"/>
                <w:spacing w:val="21"/>
                <w:sz w:val="21"/>
                <w:szCs w:val="21"/>
              </w:rPr>
              <w:t>&gt;28</w:t>
            </w:r>
          </w:p>
        </w:tc>
        <w:tc>
          <w:tcPr>
            <w:tcW w:w="2333" w:type="dxa"/>
            <w:shd w:val="clear" w:color="auto" w:fill="auto"/>
          </w:tcPr>
          <w:p w:rsidR="00A76B5C" w:rsidRDefault="00A76B5C" w:rsidP="00A76B5C">
            <w:pPr>
              <w:pStyle w:val="TableText"/>
              <w:topLinePunct/>
              <w:spacing w:before="85"/>
              <w:jc w:val="center"/>
              <w:rPr>
                <w:rFonts w:ascii="Times New Roman" w:hAnsi="Times New Roman" w:cs="Times New Roman"/>
                <w:sz w:val="21"/>
                <w:szCs w:val="21"/>
              </w:rPr>
            </w:pPr>
            <w:r>
              <w:rPr>
                <w:rFonts w:ascii="Times New Roman" w:hAnsi="Times New Roman" w:cs="Times New Roman"/>
                <w:sz w:val="21"/>
                <w:szCs w:val="21"/>
              </w:rPr>
              <w:t>3</w:t>
            </w:r>
          </w:p>
        </w:tc>
        <w:tc>
          <w:tcPr>
            <w:tcW w:w="2333" w:type="dxa"/>
            <w:shd w:val="clear" w:color="auto" w:fill="auto"/>
          </w:tcPr>
          <w:p w:rsidR="00A76B5C" w:rsidRDefault="00A76B5C" w:rsidP="00A76B5C">
            <w:pPr>
              <w:pStyle w:val="TableText"/>
              <w:topLinePunct/>
              <w:spacing w:before="56"/>
              <w:jc w:val="center"/>
              <w:rPr>
                <w:rFonts w:ascii="Times New Roman" w:hAnsi="Times New Roman" w:cs="Times New Roman"/>
                <w:sz w:val="21"/>
                <w:szCs w:val="21"/>
              </w:rPr>
            </w:pPr>
            <w:r>
              <w:rPr>
                <w:rFonts w:ascii="Times New Roman" w:hAnsi="Times New Roman" w:cs="Times New Roman"/>
                <w:spacing w:val="24"/>
                <w:sz w:val="21"/>
                <w:szCs w:val="21"/>
              </w:rPr>
              <w:t>&gt;130</w:t>
            </w:r>
          </w:p>
        </w:tc>
        <w:tc>
          <w:tcPr>
            <w:tcW w:w="2334" w:type="dxa"/>
            <w:shd w:val="clear" w:color="auto" w:fill="auto"/>
          </w:tcPr>
          <w:p w:rsidR="00A76B5C" w:rsidRDefault="00A76B5C" w:rsidP="00A76B5C">
            <w:pPr>
              <w:pStyle w:val="TableText"/>
              <w:topLinePunct/>
              <w:spacing w:before="85"/>
              <w:jc w:val="center"/>
              <w:rPr>
                <w:rFonts w:ascii="Times New Roman" w:hAnsi="Times New Roman" w:cs="Times New Roman"/>
                <w:sz w:val="21"/>
                <w:szCs w:val="21"/>
              </w:rPr>
            </w:pPr>
            <w:r>
              <w:rPr>
                <w:rFonts w:ascii="Times New Roman" w:hAnsi="Times New Roman" w:cs="Times New Roman"/>
                <w:spacing w:val="-4"/>
                <w:sz w:val="21"/>
                <w:szCs w:val="21"/>
              </w:rPr>
              <w:t>0</w:t>
            </w:r>
            <w:r w:rsidR="00974F9A">
              <w:rPr>
                <w:rFonts w:cs="Times New Roman" w:hint="eastAsia"/>
                <w:spacing w:val="2"/>
                <w:sz w:val="21"/>
                <w:szCs w:val="21"/>
              </w:rPr>
              <w:t>～</w:t>
            </w:r>
            <w:r>
              <w:rPr>
                <w:rFonts w:ascii="Times New Roman" w:hAnsi="Times New Roman" w:cs="Times New Roman"/>
                <w:spacing w:val="-4"/>
                <w:sz w:val="21"/>
                <w:szCs w:val="21"/>
              </w:rPr>
              <w:t>4</w:t>
            </w:r>
          </w:p>
        </w:tc>
      </w:tr>
    </w:tbl>
    <w:p w:rsidR="00A76B5C" w:rsidRDefault="00A76B5C" w:rsidP="00A76B5C">
      <w:pPr>
        <w:pStyle w:val="affc"/>
        <w:spacing w:before="312" w:after="312"/>
      </w:pPr>
      <w:r>
        <w:rPr>
          <w:rFonts w:hint="eastAsia"/>
        </w:rPr>
        <w:t>田间管理</w:t>
      </w:r>
    </w:p>
    <w:p w:rsidR="00A76B5C" w:rsidRDefault="00A76B5C" w:rsidP="00A76B5C">
      <w:pPr>
        <w:pStyle w:val="affffb"/>
        <w:ind w:firstLine="420"/>
      </w:pPr>
      <w:r w:rsidRPr="00A76B5C">
        <w:rPr>
          <w:rFonts w:hint="eastAsia"/>
        </w:rPr>
        <w:t>及时防治病虫草害，使用的农药须符合NY/T 1276的规定。</w:t>
      </w:r>
    </w:p>
    <w:p w:rsidR="00A76B5C" w:rsidRPr="00A76B5C" w:rsidRDefault="00A76B5C" w:rsidP="00A76B5C">
      <w:pPr>
        <w:pStyle w:val="affffb"/>
        <w:ind w:firstLineChars="0" w:firstLine="0"/>
        <w:jc w:val="center"/>
        <w:rPr>
          <w:rFonts w:hint="eastAsia"/>
        </w:rPr>
      </w:pPr>
      <w:bookmarkStart w:id="45" w:name="BookMark8"/>
      <w:bookmarkEnd w:id="22"/>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A76B5C" w:rsidRPr="00A76B5C"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A56" w:rsidRDefault="00681A56" w:rsidP="00D86DB7">
      <w:r>
        <w:separator/>
      </w:r>
    </w:p>
    <w:p w:rsidR="00681A56" w:rsidRDefault="00681A56"/>
    <w:p w:rsidR="00681A56" w:rsidRDefault="00681A56"/>
  </w:endnote>
  <w:endnote w:type="continuationSeparator" w:id="0">
    <w:p w:rsidR="00681A56" w:rsidRDefault="00681A56" w:rsidP="00D86DB7">
      <w:r>
        <w:continuationSeparator/>
      </w:r>
    </w:p>
    <w:p w:rsidR="00681A56" w:rsidRDefault="00681A56"/>
    <w:p w:rsidR="00681A56" w:rsidRDefault="00681A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75138F" w:rsidRPr="0075138F">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A56" w:rsidRDefault="00681A56" w:rsidP="00D86DB7">
      <w:r>
        <w:separator/>
      </w:r>
    </w:p>
  </w:footnote>
  <w:footnote w:type="continuationSeparator" w:id="0">
    <w:p w:rsidR="00681A56" w:rsidRDefault="00681A56" w:rsidP="00D86DB7">
      <w:r>
        <w:continuationSeparator/>
      </w:r>
    </w:p>
    <w:p w:rsidR="00681A56" w:rsidRDefault="00681A56"/>
    <w:p w:rsidR="00681A56" w:rsidRDefault="00681A5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BF0172">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75138F">
      <w:t>DB 4107/T XXXX</w:t>
    </w:r>
    <w:r w:rsidR="0075138F">
      <w:t>—</w:t>
    </w:r>
    <w:r w:rsidR="0075138F">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gEwxNcXeCi15YsIz9h0hTeR7IPo3J1YEqsheT8IhzTunf8UXGwWthS6WLZfoFmIKyuXYHuoJlOQY86pNEjeIAQ==" w:salt="3ZdCItEShrWNgbX+p8Ozj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17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0BE"/>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3B0"/>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AC5"/>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1A56"/>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2B13"/>
    <w:rsid w:val="006C5A62"/>
    <w:rsid w:val="006C5D68"/>
    <w:rsid w:val="006C6976"/>
    <w:rsid w:val="006C6DD0"/>
    <w:rsid w:val="006C716C"/>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3AE9"/>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38F"/>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10BA"/>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5C9"/>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049D"/>
    <w:rsid w:val="00953604"/>
    <w:rsid w:val="0095496B"/>
    <w:rsid w:val="009610DC"/>
    <w:rsid w:val="00961490"/>
    <w:rsid w:val="0096381A"/>
    <w:rsid w:val="00965E04"/>
    <w:rsid w:val="009674AD"/>
    <w:rsid w:val="00970CDC"/>
    <w:rsid w:val="00974F9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6B5C"/>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172"/>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063D"/>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9EE88"/>
  <w15:docId w15:val="{0D9E2EA7-CEF9-4338-9985-117E404FB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Normal">
    <w:name w:val="Normal"/>
    <w:rsid w:val="002A40BE"/>
    <w:pPr>
      <w:jc w:val="both"/>
    </w:pPr>
    <w:rPr>
      <w:rFonts w:ascii="Times New Roman" w:hAnsi="Times New Roman"/>
      <w:kern w:val="2"/>
      <w:sz w:val="21"/>
      <w:szCs w:val="21"/>
    </w:rPr>
  </w:style>
  <w:style w:type="paragraph" w:customStyle="1" w:styleId="TableText">
    <w:name w:val="Table Text"/>
    <w:basedOn w:val="afff5"/>
    <w:semiHidden/>
    <w:rsid w:val="00A76B5C"/>
    <w:pPr>
      <w:widowControl/>
      <w:kinsoku w:val="0"/>
      <w:autoSpaceDE w:val="0"/>
      <w:autoSpaceDN w:val="0"/>
      <w:snapToGrid w:val="0"/>
      <w:spacing w:line="240" w:lineRule="auto"/>
      <w:jc w:val="left"/>
      <w:textAlignment w:val="baseline"/>
    </w:pPr>
    <w:rPr>
      <w:rFonts w:ascii="宋体" w:hAnsi="宋体" w:cs="宋体"/>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84304266">
      <w:bodyDiv w:val="1"/>
      <w:marLeft w:val="0"/>
      <w:marRight w:val="0"/>
      <w:marTop w:val="0"/>
      <w:marBottom w:val="0"/>
      <w:divBdr>
        <w:top w:val="none" w:sz="0" w:space="0" w:color="auto"/>
        <w:left w:val="none" w:sz="0" w:space="0" w:color="auto"/>
        <w:bottom w:val="none" w:sz="0" w:space="0" w:color="auto"/>
        <w:right w:val="none" w:sz="0" w:space="0" w:color="auto"/>
      </w:divBdr>
    </w:div>
    <w:div w:id="1127314336">
      <w:bodyDiv w:val="1"/>
      <w:marLeft w:val="0"/>
      <w:marRight w:val="0"/>
      <w:marTop w:val="0"/>
      <w:marBottom w:val="0"/>
      <w:divBdr>
        <w:top w:val="none" w:sz="0" w:space="0" w:color="auto"/>
        <w:left w:val="none" w:sz="0" w:space="0" w:color="auto"/>
        <w:bottom w:val="none" w:sz="0" w:space="0" w:color="auto"/>
        <w:right w:val="none" w:sz="0" w:space="0" w:color="auto"/>
      </w:divBdr>
    </w:div>
    <w:div w:id="1310786066">
      <w:bodyDiv w:val="1"/>
      <w:marLeft w:val="0"/>
      <w:marRight w:val="0"/>
      <w:marTop w:val="0"/>
      <w:marBottom w:val="0"/>
      <w:divBdr>
        <w:top w:val="none" w:sz="0" w:space="0" w:color="auto"/>
        <w:left w:val="none" w:sz="0" w:space="0" w:color="auto"/>
        <w:bottom w:val="none" w:sz="0" w:space="0" w:color="auto"/>
        <w:right w:val="none" w:sz="0" w:space="0" w:color="auto"/>
      </w:divBdr>
    </w:div>
    <w:div w:id="1370446542">
      <w:bodyDiv w:val="1"/>
      <w:marLeft w:val="0"/>
      <w:marRight w:val="0"/>
      <w:marTop w:val="0"/>
      <w:marBottom w:val="0"/>
      <w:divBdr>
        <w:top w:val="none" w:sz="0" w:space="0" w:color="auto"/>
        <w:left w:val="none" w:sz="0" w:space="0" w:color="auto"/>
        <w:bottom w:val="none" w:sz="0" w:space="0" w:color="auto"/>
        <w:right w:val="none" w:sz="0" w:space="0" w:color="auto"/>
      </w:divBdr>
    </w:div>
    <w:div w:id="1725828385">
      <w:bodyDiv w:val="1"/>
      <w:marLeft w:val="0"/>
      <w:marRight w:val="0"/>
      <w:marTop w:val="0"/>
      <w:marBottom w:val="0"/>
      <w:divBdr>
        <w:top w:val="none" w:sz="0" w:space="0" w:color="auto"/>
        <w:left w:val="none" w:sz="0" w:space="0" w:color="auto"/>
        <w:bottom w:val="none" w:sz="0" w:space="0" w:color="auto"/>
        <w:right w:val="none" w:sz="0" w:space="0" w:color="auto"/>
      </w:divBdr>
    </w:div>
    <w:div w:id="174013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36D07C6FE7B4A7F8176A04C149DA5B3"/>
        <w:category>
          <w:name w:val="常规"/>
          <w:gallery w:val="placeholder"/>
        </w:category>
        <w:types>
          <w:type w:val="bbPlcHdr"/>
        </w:types>
        <w:behaviors>
          <w:behavior w:val="content"/>
        </w:behaviors>
        <w:guid w:val="{F113B61B-7835-42D4-8A10-71AA5F5BA0A5}"/>
      </w:docPartPr>
      <w:docPartBody>
        <w:p w:rsidR="009E2D63" w:rsidRDefault="00FC5B85">
          <w:pPr>
            <w:pStyle w:val="336D07C6FE7B4A7F8176A04C149DA5B3"/>
          </w:pPr>
          <w:r w:rsidRPr="00751A05">
            <w:rPr>
              <w:rStyle w:val="a3"/>
              <w:rFonts w:hint="eastAsia"/>
            </w:rPr>
            <w:t>单击或点击此处输入文字。</w:t>
          </w:r>
        </w:p>
      </w:docPartBody>
    </w:docPart>
    <w:docPart>
      <w:docPartPr>
        <w:name w:val="BA64C42DBD624EC4B87B44E3362FD387"/>
        <w:category>
          <w:name w:val="常规"/>
          <w:gallery w:val="placeholder"/>
        </w:category>
        <w:types>
          <w:type w:val="bbPlcHdr"/>
        </w:types>
        <w:behaviors>
          <w:behavior w:val="content"/>
        </w:behaviors>
        <w:guid w:val="{AFBDFDF3-AEF0-4F57-AE7F-E65632272FDB}"/>
      </w:docPartPr>
      <w:docPartBody>
        <w:p w:rsidR="009E2D63" w:rsidRDefault="00FC5B85">
          <w:pPr>
            <w:pStyle w:val="BA64C42DBD624EC4B87B44E3362FD387"/>
          </w:pPr>
          <w:r w:rsidRPr="00FB6243">
            <w:rPr>
              <w:rStyle w:val="a3"/>
              <w:rFonts w:hint="eastAsia"/>
            </w:rPr>
            <w:t>选择一项。</w:t>
          </w:r>
        </w:p>
      </w:docPartBody>
    </w:docPart>
    <w:docPart>
      <w:docPartPr>
        <w:name w:val="223D82559A344F9796BF7D0DE947FE4D"/>
        <w:category>
          <w:name w:val="常规"/>
          <w:gallery w:val="placeholder"/>
        </w:category>
        <w:types>
          <w:type w:val="bbPlcHdr"/>
        </w:types>
        <w:behaviors>
          <w:behavior w:val="content"/>
        </w:behaviors>
        <w:guid w:val="{B8A3DD2B-8688-4876-802E-34D81055AFE3}"/>
      </w:docPartPr>
      <w:docPartBody>
        <w:p w:rsidR="009E2D63" w:rsidRDefault="00FC5B85">
          <w:pPr>
            <w:pStyle w:val="223D82559A344F9796BF7D0DE947FE4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B85"/>
    <w:rsid w:val="009E2D63"/>
    <w:rsid w:val="00B42463"/>
    <w:rsid w:val="00FC5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36D07C6FE7B4A7F8176A04C149DA5B3">
    <w:name w:val="336D07C6FE7B4A7F8176A04C149DA5B3"/>
    <w:pPr>
      <w:widowControl w:val="0"/>
      <w:jc w:val="both"/>
    </w:pPr>
  </w:style>
  <w:style w:type="paragraph" w:customStyle="1" w:styleId="BA64C42DBD624EC4B87B44E3362FD387">
    <w:name w:val="BA64C42DBD624EC4B87B44E3362FD387"/>
    <w:pPr>
      <w:widowControl w:val="0"/>
      <w:jc w:val="both"/>
    </w:pPr>
  </w:style>
  <w:style w:type="paragraph" w:customStyle="1" w:styleId="223D82559A344F9796BF7D0DE947FE4D">
    <w:name w:val="223D82559A344F9796BF7D0DE947FE4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C664C-948D-4731-99A7-9FE9F290C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496</TotalTime>
  <Pages>5</Pages>
  <Words>368</Words>
  <Characters>2103</Characters>
  <Application>Microsoft Office Word</Application>
  <DocSecurity>0</DocSecurity>
  <Lines>17</Lines>
  <Paragraphs>4</Paragraphs>
  <ScaleCrop>false</ScaleCrop>
  <Company>PCMI</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8</cp:revision>
  <cp:lastPrinted>2020-08-30T10:00:00Z</cp:lastPrinted>
  <dcterms:created xsi:type="dcterms:W3CDTF">2025-04-03T00:54:00Z</dcterms:created>
  <dcterms:modified xsi:type="dcterms:W3CDTF">2025-04-08T01:25:00Z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