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CA7075">
      <w:pPr>
        <w:autoSpaceDE w:val="0"/>
        <w:autoSpaceDN w:val="0"/>
        <w:adjustRightInd w:val="0"/>
        <w:snapToGrid w:val="0"/>
        <w:spacing w:line="360" w:lineRule="auto"/>
        <w:jc w:val="center"/>
        <w:rPr>
          <w:rFonts w:ascii="方正小标宋简体" w:eastAsia="方正小标宋简体"/>
          <w:kern w:val="0"/>
          <w:sz w:val="44"/>
          <w:szCs w:val="44"/>
        </w:rPr>
      </w:pPr>
      <w:r>
        <w:rPr>
          <w:rFonts w:hint="eastAsia" w:ascii="方正小标宋简体" w:eastAsia="方正小标宋简体"/>
          <w:kern w:val="0"/>
          <w:sz w:val="44"/>
          <w:szCs w:val="44"/>
        </w:rPr>
        <w:t>《</w:t>
      </w:r>
      <w:r>
        <w:rPr>
          <w:rFonts w:hint="eastAsia" w:ascii="方正小标宋简体" w:hAnsi="黑体" w:eastAsia="方正小标宋简体"/>
          <w:kern w:val="0"/>
          <w:sz w:val="44"/>
          <w:szCs w:val="44"/>
        </w:rPr>
        <w:t>玉米适密水肥一体化生产技术规程</w:t>
      </w:r>
      <w:r>
        <w:rPr>
          <w:rFonts w:hint="eastAsia" w:ascii="方正小标宋简体" w:eastAsia="方正小标宋简体"/>
          <w:kern w:val="0"/>
          <w:sz w:val="44"/>
          <w:szCs w:val="44"/>
        </w:rPr>
        <w:t>》</w:t>
      </w:r>
      <w:r>
        <w:rPr>
          <w:rFonts w:hint="eastAsia" w:ascii="方正小标宋简体" w:hAnsi="黑体" w:eastAsia="方正小标宋简体"/>
          <w:kern w:val="0"/>
          <w:sz w:val="44"/>
          <w:szCs w:val="44"/>
        </w:rPr>
        <w:t>新乡市地方标准编制说明</w:t>
      </w:r>
    </w:p>
    <w:p w14:paraId="230C7862">
      <w:pPr>
        <w:snapToGrid w:val="0"/>
        <w:spacing w:line="360" w:lineRule="auto"/>
        <w:ind w:firstLine="627" w:firstLineChars="196"/>
        <w:rPr>
          <w:rFonts w:ascii="仿宋_GB2312" w:eastAsia="仿宋_GB2312"/>
          <w:kern w:val="0"/>
          <w:sz w:val="28"/>
          <w:szCs w:val="28"/>
        </w:rPr>
      </w:pPr>
      <w:r>
        <w:rPr>
          <w:rFonts w:hint="eastAsia" w:ascii="黑体" w:hAnsi="黑体" w:eastAsia="黑体"/>
          <w:kern w:val="0"/>
          <w:sz w:val="32"/>
          <w:szCs w:val="32"/>
        </w:rPr>
        <w:t>一、编制的目的和意义</w:t>
      </w:r>
    </w:p>
    <w:p w14:paraId="7374E809">
      <w:pPr>
        <w:rPr>
          <w:rFonts w:ascii="楷体" w:hAnsi="楷体" w:eastAsia="楷体"/>
          <w:sz w:val="32"/>
          <w:szCs w:val="32"/>
        </w:rPr>
      </w:pPr>
      <w:bookmarkStart w:id="0" w:name="OLE_LINK8"/>
      <w:bookmarkStart w:id="1" w:name="OLE_LINK7"/>
      <w:r>
        <w:rPr>
          <w:rFonts w:hint="eastAsia" w:ascii="楷体" w:hAnsi="楷体" w:eastAsia="楷体"/>
          <w:sz w:val="32"/>
          <w:szCs w:val="32"/>
        </w:rPr>
        <w:t>(一)政策依据</w:t>
      </w:r>
    </w:p>
    <w:bookmarkEnd w:id="0"/>
    <w:bookmarkEnd w:id="1"/>
    <w:p w14:paraId="4E8808F5">
      <w:pPr>
        <w:ind w:firstLine="640" w:firstLineChars="200"/>
        <w:jc w:val="left"/>
        <w:rPr>
          <w:rFonts w:ascii="仿宋_GB2312" w:eastAsia="仿宋_GB2312"/>
          <w:kern w:val="0"/>
          <w:sz w:val="32"/>
          <w:szCs w:val="32"/>
        </w:rPr>
      </w:pPr>
      <w:r>
        <w:rPr>
          <w:rFonts w:hint="eastAsia" w:ascii="仿宋_GB2312" w:eastAsia="仿宋_GB2312"/>
          <w:kern w:val="0"/>
          <w:sz w:val="32"/>
          <w:szCs w:val="32"/>
        </w:rPr>
        <w:t>玉米是我国主要粮食作物，也是重要的口粮、饲料粮、工业原料和能源原料，在国民经济中占有重要地位。2023年中央一号文件提出实施新一轮千亿斤粮食产能提升行动。制定粮食产能的新目标。</w:t>
      </w:r>
    </w:p>
    <w:p w14:paraId="312C77BE">
      <w:pPr>
        <w:jc w:val="left"/>
        <w:rPr>
          <w:rFonts w:hint="eastAsia" w:ascii="楷体" w:hAnsi="楷体" w:eastAsia="楷体"/>
          <w:sz w:val="32"/>
          <w:szCs w:val="32"/>
        </w:rPr>
      </w:pPr>
      <w:r>
        <w:rPr>
          <w:rFonts w:hint="eastAsia" w:ascii="楷体" w:hAnsi="楷体" w:eastAsia="楷体"/>
          <w:sz w:val="32"/>
          <w:szCs w:val="32"/>
        </w:rPr>
        <w:t>(二)研究背景</w:t>
      </w:r>
    </w:p>
    <w:p w14:paraId="3618C328">
      <w:pPr>
        <w:ind w:firstLine="640" w:firstLineChars="200"/>
        <w:jc w:val="left"/>
        <w:rPr>
          <w:rFonts w:ascii="仿宋_GB2312" w:eastAsia="仿宋_GB2312"/>
          <w:kern w:val="0"/>
          <w:sz w:val="32"/>
          <w:szCs w:val="32"/>
        </w:rPr>
      </w:pPr>
      <w:r>
        <w:rPr>
          <w:rFonts w:hint="eastAsia" w:ascii="仿宋_GB2312" w:eastAsia="仿宋_GB2312"/>
          <w:kern w:val="0"/>
          <w:sz w:val="32"/>
          <w:szCs w:val="32"/>
        </w:rPr>
        <w:t>玉米对密度和水肥的耐受性较高，在一定范围内，随着种植密度的提高，玉米经济产量和生物产量也随之提高，根据最适密度进行合理密植是经济效益最高、最易大面积推广的增产技术手段。结合水肥一体化实现玉米一播全苗，同时在玉米水肥需求关键时期进行滴灌、追肥，实现玉米高产。</w:t>
      </w:r>
    </w:p>
    <w:p w14:paraId="1AFC78BF">
      <w:pPr>
        <w:ind w:firstLine="640" w:firstLineChars="200"/>
        <w:jc w:val="left"/>
        <w:rPr>
          <w:rFonts w:ascii="仿宋_GB2312" w:eastAsia="仿宋_GB2312"/>
          <w:kern w:val="0"/>
          <w:sz w:val="32"/>
          <w:szCs w:val="32"/>
        </w:rPr>
      </w:pPr>
      <w:r>
        <w:rPr>
          <w:rFonts w:hint="eastAsia" w:ascii="仿宋_GB2312" w:eastAsia="仿宋_GB2312"/>
          <w:kern w:val="0"/>
          <w:sz w:val="32"/>
          <w:szCs w:val="32"/>
        </w:rPr>
        <w:t>玉米适密水肥一体化生产技术是一种集成了增密种植模式和滴灌施肥的农业新技术，在增密条件下，通过向玉米根区适时适量、集中高效供应水分和养分，及时地、有效地满足玉米关键生育期“吃饱喝足”的需求，该技术能有效地减少肥料用量与用水量，具有资源节约和增产增效的优势，支撑玉米单产提升的关键举措。</w:t>
      </w:r>
    </w:p>
    <w:p w14:paraId="2A6485A3">
      <w:pPr>
        <w:rPr>
          <w:rFonts w:ascii="楷体" w:hAnsi="楷体" w:eastAsia="楷体"/>
          <w:sz w:val="32"/>
          <w:szCs w:val="32"/>
        </w:rPr>
      </w:pPr>
      <w:r>
        <w:rPr>
          <w:rFonts w:hint="eastAsia" w:ascii="楷体" w:hAnsi="楷体" w:eastAsia="楷体"/>
          <w:sz w:val="32"/>
          <w:szCs w:val="32"/>
        </w:rPr>
        <w:t>(三)技术创新性、先进性、易用性</w:t>
      </w:r>
    </w:p>
    <w:p w14:paraId="2F8DAABC">
      <w:pPr>
        <w:ind w:firstLine="640" w:firstLineChars="200"/>
        <w:rPr>
          <w:rFonts w:ascii="仿宋_GB2312" w:eastAsia="仿宋_GB2312"/>
          <w:kern w:val="0"/>
          <w:sz w:val="32"/>
          <w:szCs w:val="32"/>
        </w:rPr>
      </w:pPr>
      <w:r>
        <w:rPr>
          <w:rFonts w:hint="eastAsia" w:ascii="仿宋_GB2312" w:eastAsia="仿宋_GB2312"/>
          <w:kern w:val="0"/>
          <w:sz w:val="32"/>
          <w:szCs w:val="32"/>
        </w:rPr>
        <w:t>技术创新性：第一，改变种植模式，科学增加密度。结合耐密品种特性与土壤肥力，确定适宜的种植密度，通过优化株行距配置（如宽窄行种植），实现群体结构和个体发育的平衡。</w:t>
      </w:r>
    </w:p>
    <w:p w14:paraId="7DF76CFD">
      <w:pPr>
        <w:ind w:firstLine="640" w:firstLineChars="200"/>
        <w:rPr>
          <w:rFonts w:ascii="仿宋_GB2312" w:eastAsia="仿宋_GB2312"/>
          <w:kern w:val="0"/>
          <w:sz w:val="32"/>
          <w:szCs w:val="32"/>
        </w:rPr>
      </w:pPr>
      <w:r>
        <w:rPr>
          <w:rFonts w:hint="eastAsia" w:ascii="仿宋_GB2312" w:eastAsia="仿宋_GB2312"/>
          <w:kern w:val="0"/>
          <w:sz w:val="32"/>
          <w:szCs w:val="32"/>
        </w:rPr>
        <w:t>第二，水肥耦合精准供应。基于作物需水需肥规律，通过滴灌系统，将水肥输送给玉米，实现“少量多次”的按需供给，减少养分淋失和挥发。在密度增加的加持下，从而增加产量。</w:t>
      </w:r>
    </w:p>
    <w:p w14:paraId="31461094">
      <w:pPr>
        <w:ind w:firstLine="640" w:firstLineChars="200"/>
        <w:rPr>
          <w:rFonts w:hint="eastAsia" w:ascii="仿宋_GB2312" w:eastAsia="仿宋_GB2312"/>
          <w:kern w:val="0"/>
          <w:sz w:val="32"/>
          <w:szCs w:val="32"/>
        </w:rPr>
      </w:pPr>
      <w:r>
        <w:rPr>
          <w:rFonts w:hint="eastAsia" w:ascii="仿宋_GB2312" w:eastAsia="仿宋_GB2312"/>
          <w:kern w:val="0"/>
          <w:sz w:val="32"/>
          <w:szCs w:val="32"/>
        </w:rPr>
        <w:t>技术先进性：该技术配套铺设滴灌带，滴灌只需灌溉到滴灌带两侧25-30㎝处湿润，可节水40%-50%。单口水井滴灌效率为100-150亩，漫灌为8-15亩，提高工作效率，减少人共操作，省工省时。</w:t>
      </w:r>
    </w:p>
    <w:p w14:paraId="40B497A7">
      <w:pPr>
        <w:ind w:firstLine="640" w:firstLineChars="200"/>
        <w:rPr>
          <w:rFonts w:ascii="仿宋_GB2312" w:eastAsia="仿宋_GB2312"/>
          <w:kern w:val="0"/>
          <w:sz w:val="32"/>
          <w:szCs w:val="32"/>
        </w:rPr>
      </w:pPr>
      <w:r>
        <w:rPr>
          <w:rFonts w:hint="eastAsia" w:ascii="仿宋_GB2312" w:eastAsia="仿宋_GB2312"/>
          <w:kern w:val="0"/>
          <w:sz w:val="32"/>
          <w:szCs w:val="32"/>
        </w:rPr>
        <w:t>技术易用性：水肥一体化技术在大田上逐渐应用，大田水肥一体化设施简单易懂易操作，对农户日常农事管理操作起到辅助作用，综合来看该技术较为易用。</w:t>
      </w:r>
    </w:p>
    <w:p w14:paraId="507856CC">
      <w:pPr>
        <w:snapToGrid w:val="0"/>
        <w:spacing w:line="360" w:lineRule="auto"/>
        <w:ind w:firstLine="627" w:firstLineChars="196"/>
        <w:rPr>
          <w:rFonts w:ascii="仿宋_GB2312" w:eastAsia="仿宋_GB2312"/>
          <w:kern w:val="0"/>
          <w:sz w:val="28"/>
          <w:szCs w:val="28"/>
        </w:rPr>
      </w:pPr>
      <w:r>
        <w:rPr>
          <w:rFonts w:hint="eastAsia" w:ascii="黑体" w:hAnsi="黑体" w:eastAsia="黑体"/>
          <w:kern w:val="0"/>
          <w:sz w:val="32"/>
          <w:szCs w:val="32"/>
        </w:rPr>
        <w:t>二、任务来源及编制原则和依据</w:t>
      </w:r>
    </w:p>
    <w:p w14:paraId="51489505">
      <w:pPr>
        <w:ind w:firstLine="640" w:firstLineChars="200"/>
        <w:jc w:val="left"/>
        <w:rPr>
          <w:rFonts w:ascii="仿宋_GB2312" w:eastAsia="仿宋_GB2312"/>
          <w:kern w:val="0"/>
          <w:sz w:val="32"/>
          <w:szCs w:val="32"/>
        </w:rPr>
      </w:pPr>
      <w:r>
        <w:rPr>
          <w:rFonts w:hint="eastAsia" w:ascii="仿宋_GB2312" w:eastAsia="仿宋_GB2312"/>
          <w:kern w:val="0"/>
          <w:sz w:val="32"/>
          <w:szCs w:val="32"/>
        </w:rPr>
        <w:t>1、任务来源于新乡市市场监督管理局下达的2024年新乡市地方标准修订计划，项目编号20241008。</w:t>
      </w:r>
    </w:p>
    <w:p w14:paraId="1066BAD8">
      <w:pPr>
        <w:ind w:firstLine="640" w:firstLineChars="200"/>
        <w:jc w:val="left"/>
        <w:rPr>
          <w:rFonts w:ascii="仿宋_GB2312" w:eastAsia="仿宋_GB2312"/>
          <w:kern w:val="0"/>
          <w:sz w:val="32"/>
          <w:szCs w:val="32"/>
        </w:rPr>
      </w:pPr>
      <w:r>
        <w:rPr>
          <w:rFonts w:hint="eastAsia" w:ascii="仿宋_GB2312" w:eastAsia="仿宋_GB2312"/>
          <w:kern w:val="0"/>
          <w:sz w:val="32"/>
          <w:szCs w:val="32"/>
        </w:rPr>
        <w:t>2、《玉米适密水肥一体化生产技术规程》的编制按照国家有关标准化的法律、法规、标准的规定，主要遵循以下基本原则：</w:t>
      </w:r>
    </w:p>
    <w:p w14:paraId="5BF3F1C2">
      <w:pPr>
        <w:ind w:firstLine="640" w:firstLineChars="200"/>
        <w:jc w:val="left"/>
        <w:rPr>
          <w:rFonts w:ascii="仿宋_GB2312" w:eastAsia="仿宋_GB2312"/>
          <w:kern w:val="0"/>
          <w:sz w:val="32"/>
          <w:szCs w:val="32"/>
        </w:rPr>
      </w:pPr>
      <w:r>
        <w:rPr>
          <w:rFonts w:hint="eastAsia" w:ascii="仿宋_GB2312" w:eastAsia="仿宋_GB2312"/>
          <w:kern w:val="0"/>
          <w:sz w:val="32"/>
          <w:szCs w:val="32"/>
        </w:rPr>
        <w:t>（1）规范性：本标准的编制严格按照GB/T 1.1—2020标准化工作导则 第1部分：标准的结构编写。</w:t>
      </w:r>
    </w:p>
    <w:p w14:paraId="3A8D31CC">
      <w:pPr>
        <w:ind w:firstLine="640" w:firstLineChars="200"/>
        <w:jc w:val="left"/>
        <w:rPr>
          <w:rFonts w:ascii="仿宋_GB2312" w:eastAsia="仿宋_GB2312"/>
          <w:kern w:val="0"/>
          <w:sz w:val="32"/>
          <w:szCs w:val="32"/>
        </w:rPr>
      </w:pPr>
      <w:r>
        <w:rPr>
          <w:rFonts w:hint="eastAsia" w:ascii="仿宋_GB2312" w:eastAsia="仿宋_GB2312"/>
          <w:kern w:val="0"/>
          <w:sz w:val="32"/>
          <w:szCs w:val="32"/>
        </w:rPr>
        <w:t>（2）适用性：本文件适用于河南省新乡市玉米种植区。</w:t>
      </w:r>
    </w:p>
    <w:p w14:paraId="2F526161">
      <w:pPr>
        <w:ind w:firstLine="640" w:firstLineChars="200"/>
        <w:jc w:val="left"/>
        <w:rPr>
          <w:rFonts w:ascii="仿宋_GB2312" w:eastAsia="仿宋_GB2312"/>
          <w:kern w:val="0"/>
          <w:sz w:val="32"/>
          <w:szCs w:val="32"/>
        </w:rPr>
      </w:pPr>
      <w:r>
        <w:rPr>
          <w:rFonts w:hint="eastAsia" w:ascii="仿宋_GB2312" w:eastAsia="仿宋_GB2312"/>
          <w:kern w:val="0"/>
          <w:sz w:val="32"/>
          <w:szCs w:val="32"/>
        </w:rPr>
        <w:t>（3）统一性：本标准编写过程中始终注意全文的统一性，做到结构统一、文体统一和术语统一。</w:t>
      </w:r>
    </w:p>
    <w:p w14:paraId="7F76D350">
      <w:pPr>
        <w:ind w:firstLine="640" w:firstLineChars="200"/>
        <w:jc w:val="left"/>
        <w:rPr>
          <w:rFonts w:ascii="仿宋_GB2312" w:eastAsia="仿宋_GB2312"/>
          <w:kern w:val="0"/>
          <w:sz w:val="32"/>
          <w:szCs w:val="32"/>
        </w:rPr>
      </w:pPr>
      <w:r>
        <w:rPr>
          <w:rFonts w:hint="eastAsia" w:ascii="仿宋_GB2312" w:eastAsia="仿宋_GB2312"/>
          <w:kern w:val="0"/>
          <w:sz w:val="32"/>
          <w:szCs w:val="32"/>
        </w:rPr>
        <w:t>（4）协调性：本标准在编制过程中，查阅了多项其他标准，力求不同标准间能相互协调。本标准引用了一下标准：</w:t>
      </w:r>
    </w:p>
    <w:p w14:paraId="2DE641BE">
      <w:pPr>
        <w:pStyle w:val="10"/>
        <w:ind w:firstLine="640"/>
        <w:rPr>
          <w:rFonts w:ascii="仿宋_GB2312" w:eastAsia="仿宋_GB2312"/>
          <w:kern w:val="0"/>
          <w:sz w:val="32"/>
          <w:szCs w:val="32"/>
        </w:rPr>
      </w:pPr>
      <w:r>
        <w:rPr>
          <w:rFonts w:hint="eastAsia" w:ascii="仿宋_GB2312" w:eastAsia="仿宋_GB2312"/>
          <w:kern w:val="0"/>
          <w:sz w:val="32"/>
          <w:szCs w:val="32"/>
        </w:rPr>
        <w:t>GB 4404.1 粮食作物种子 第1部分:禾谷类</w:t>
      </w:r>
    </w:p>
    <w:p w14:paraId="3EEDF240">
      <w:pPr>
        <w:pStyle w:val="10"/>
        <w:ind w:firstLine="640"/>
        <w:rPr>
          <w:rFonts w:ascii="仿宋_GB2312" w:eastAsia="仿宋_GB2312"/>
          <w:kern w:val="0"/>
          <w:sz w:val="32"/>
          <w:szCs w:val="32"/>
        </w:rPr>
      </w:pPr>
      <w:r>
        <w:rPr>
          <w:rFonts w:hint="eastAsia" w:ascii="仿宋_GB2312" w:eastAsia="仿宋_GB2312"/>
          <w:kern w:val="0"/>
          <w:sz w:val="32"/>
          <w:szCs w:val="32"/>
        </w:rPr>
        <w:t>GB 5084 农田灌溉水质标准</w:t>
      </w:r>
    </w:p>
    <w:p w14:paraId="1B211D0D">
      <w:pPr>
        <w:pStyle w:val="10"/>
        <w:ind w:firstLine="640"/>
        <w:rPr>
          <w:rFonts w:ascii="仿宋_GB2312" w:eastAsia="仿宋_GB2312"/>
          <w:kern w:val="0"/>
          <w:sz w:val="32"/>
          <w:szCs w:val="32"/>
        </w:rPr>
      </w:pPr>
      <w:r>
        <w:rPr>
          <w:rFonts w:hint="eastAsia" w:ascii="仿宋_GB2312" w:eastAsia="仿宋_GB2312"/>
          <w:kern w:val="0"/>
          <w:sz w:val="32"/>
          <w:szCs w:val="32"/>
        </w:rPr>
        <w:t>GB/T 8321（所有部分） 农药合理使用准则</w:t>
      </w:r>
    </w:p>
    <w:p w14:paraId="771CD2AC">
      <w:pPr>
        <w:pStyle w:val="10"/>
        <w:ind w:firstLine="640"/>
        <w:rPr>
          <w:rFonts w:ascii="仿宋_GB2312" w:eastAsia="仿宋_GB2312"/>
          <w:kern w:val="0"/>
          <w:sz w:val="32"/>
          <w:szCs w:val="32"/>
        </w:rPr>
      </w:pPr>
      <w:r>
        <w:rPr>
          <w:rFonts w:ascii="仿宋_GB2312" w:eastAsia="仿宋_GB2312"/>
          <w:kern w:val="0"/>
          <w:sz w:val="32"/>
          <w:szCs w:val="32"/>
        </w:rPr>
        <w:t>GB/T 10002.1 </w:t>
      </w:r>
      <w:r>
        <w:rPr>
          <w:rFonts w:hint="eastAsia" w:ascii="仿宋_GB2312" w:eastAsia="仿宋_GB2312"/>
          <w:kern w:val="0"/>
          <w:sz w:val="32"/>
          <w:szCs w:val="32"/>
        </w:rPr>
        <w:t>给水用硬聚氯乙烯</w:t>
      </w:r>
      <w:r>
        <w:rPr>
          <w:rFonts w:ascii="仿宋_GB2312" w:eastAsia="仿宋_GB2312"/>
          <w:kern w:val="0"/>
          <w:sz w:val="32"/>
          <w:szCs w:val="32"/>
        </w:rPr>
        <w:t>(PVC-U)</w:t>
      </w:r>
      <w:r>
        <w:rPr>
          <w:rFonts w:hint="eastAsia" w:ascii="仿宋_GB2312" w:eastAsia="仿宋_GB2312"/>
          <w:kern w:val="0"/>
          <w:sz w:val="32"/>
          <w:szCs w:val="32"/>
        </w:rPr>
        <w:t>管材</w:t>
      </w:r>
    </w:p>
    <w:p w14:paraId="6D0FA645">
      <w:pPr>
        <w:pStyle w:val="10"/>
        <w:ind w:firstLine="640"/>
        <w:rPr>
          <w:rFonts w:ascii="仿宋_GB2312" w:eastAsia="仿宋_GB2312"/>
          <w:kern w:val="0"/>
          <w:sz w:val="32"/>
          <w:szCs w:val="32"/>
        </w:rPr>
      </w:pPr>
      <w:r>
        <w:rPr>
          <w:rFonts w:ascii="仿宋_GB2312" w:eastAsia="仿宋_GB2312"/>
          <w:kern w:val="0"/>
          <w:sz w:val="32"/>
          <w:szCs w:val="32"/>
        </w:rPr>
        <w:t>GB/T 13663</w:t>
      </w:r>
      <w:r>
        <w:rPr>
          <w:rFonts w:hint="eastAsia" w:ascii="仿宋_GB2312" w:eastAsia="仿宋_GB2312"/>
          <w:kern w:val="0"/>
          <w:sz w:val="32"/>
          <w:szCs w:val="32"/>
        </w:rPr>
        <w:t>（所有部分）</w:t>
      </w:r>
      <w:r>
        <w:rPr>
          <w:rFonts w:ascii="仿宋_GB2312" w:eastAsia="仿宋_GB2312"/>
          <w:kern w:val="0"/>
          <w:sz w:val="32"/>
          <w:szCs w:val="32"/>
        </w:rPr>
        <w:t> </w:t>
      </w:r>
      <w:r>
        <w:rPr>
          <w:rFonts w:hint="eastAsia" w:ascii="仿宋_GB2312" w:eastAsia="仿宋_GB2312"/>
          <w:kern w:val="0"/>
          <w:sz w:val="32"/>
          <w:szCs w:val="32"/>
        </w:rPr>
        <w:t>给水用聚乙烯</w:t>
      </w:r>
      <w:r>
        <w:rPr>
          <w:rFonts w:ascii="仿宋_GB2312" w:eastAsia="仿宋_GB2312"/>
          <w:kern w:val="0"/>
          <w:sz w:val="32"/>
          <w:szCs w:val="32"/>
        </w:rPr>
        <w:t>(PE)</w:t>
      </w:r>
      <w:r>
        <w:rPr>
          <w:rFonts w:hint="eastAsia" w:ascii="仿宋_GB2312" w:eastAsia="仿宋_GB2312"/>
          <w:kern w:val="0"/>
          <w:sz w:val="32"/>
          <w:szCs w:val="32"/>
        </w:rPr>
        <w:t>管道系统</w:t>
      </w:r>
    </w:p>
    <w:p w14:paraId="6CED03E3">
      <w:pPr>
        <w:pStyle w:val="10"/>
        <w:ind w:firstLine="640"/>
        <w:rPr>
          <w:rFonts w:ascii="仿宋_GB2312" w:eastAsia="仿宋_GB2312"/>
          <w:kern w:val="0"/>
          <w:sz w:val="32"/>
          <w:szCs w:val="32"/>
        </w:rPr>
      </w:pPr>
      <w:r>
        <w:rPr>
          <w:rFonts w:hint="eastAsia" w:ascii="仿宋_GB2312" w:eastAsia="仿宋_GB2312"/>
          <w:kern w:val="0"/>
          <w:sz w:val="32"/>
          <w:szCs w:val="32"/>
        </w:rPr>
        <w:t>GB/T 13664 低压输水灌溉用硬聚氯乙烯(PVC-U)管材</w:t>
      </w:r>
    </w:p>
    <w:p w14:paraId="608889E2">
      <w:pPr>
        <w:pStyle w:val="10"/>
        <w:ind w:firstLine="640"/>
        <w:rPr>
          <w:rFonts w:ascii="仿宋_GB2312" w:eastAsia="仿宋_GB2312"/>
          <w:kern w:val="0"/>
          <w:sz w:val="32"/>
          <w:szCs w:val="32"/>
        </w:rPr>
      </w:pPr>
      <w:r>
        <w:rPr>
          <w:rFonts w:hint="eastAsia" w:ascii="仿宋_GB2312" w:eastAsia="仿宋_GB2312"/>
          <w:kern w:val="0"/>
          <w:sz w:val="32"/>
          <w:szCs w:val="32"/>
        </w:rPr>
        <w:t>GB/T 18690.2  农业灌溉设备 过滤器 网式过滤器</w:t>
      </w:r>
    </w:p>
    <w:p w14:paraId="580F76EF">
      <w:pPr>
        <w:pStyle w:val="10"/>
        <w:ind w:firstLine="640"/>
        <w:rPr>
          <w:rFonts w:ascii="仿宋_GB2312" w:eastAsia="仿宋_GB2312"/>
          <w:kern w:val="0"/>
          <w:sz w:val="32"/>
          <w:szCs w:val="32"/>
        </w:rPr>
      </w:pPr>
      <w:r>
        <w:rPr>
          <w:rFonts w:ascii="仿宋_GB2312" w:eastAsia="仿宋_GB2312"/>
          <w:kern w:val="0"/>
          <w:sz w:val="32"/>
          <w:szCs w:val="32"/>
        </w:rPr>
        <w:t>GB/T 19812.1 </w:t>
      </w:r>
      <w:r>
        <w:rPr>
          <w:rFonts w:hint="eastAsia" w:ascii="仿宋_GB2312" w:eastAsia="仿宋_GB2312"/>
          <w:kern w:val="0"/>
          <w:sz w:val="32"/>
          <w:szCs w:val="32"/>
        </w:rPr>
        <w:t>塑料节水灌溉器材</w:t>
      </w:r>
      <w:r>
        <w:rPr>
          <w:rFonts w:ascii="仿宋_GB2312" w:eastAsia="仿宋_GB2312"/>
          <w:kern w:val="0"/>
          <w:sz w:val="32"/>
          <w:szCs w:val="32"/>
        </w:rPr>
        <w:t xml:space="preserve"> </w:t>
      </w:r>
    </w:p>
    <w:p w14:paraId="74C82F8D">
      <w:pPr>
        <w:pStyle w:val="10"/>
        <w:ind w:firstLine="640"/>
        <w:rPr>
          <w:rFonts w:ascii="仿宋_GB2312" w:eastAsia="仿宋_GB2312"/>
          <w:kern w:val="0"/>
          <w:sz w:val="32"/>
          <w:szCs w:val="32"/>
        </w:rPr>
      </w:pPr>
      <w:r>
        <w:rPr>
          <w:rFonts w:ascii="仿宋_GB2312" w:eastAsia="仿宋_GB2312"/>
          <w:kern w:val="0"/>
          <w:sz w:val="32"/>
          <w:szCs w:val="32"/>
        </w:rPr>
        <w:t>GB/T 50485 </w:t>
      </w:r>
      <w:r>
        <w:rPr>
          <w:rFonts w:hint="eastAsia" w:ascii="仿宋_GB2312" w:eastAsia="仿宋_GB2312"/>
          <w:kern w:val="0"/>
          <w:sz w:val="32"/>
          <w:szCs w:val="32"/>
        </w:rPr>
        <w:t>微灌工程技术规范</w:t>
      </w:r>
    </w:p>
    <w:p w14:paraId="1555ECE1">
      <w:pPr>
        <w:pStyle w:val="10"/>
        <w:ind w:firstLine="640"/>
        <w:rPr>
          <w:rFonts w:ascii="仿宋_GB2312" w:eastAsia="仿宋_GB2312"/>
          <w:kern w:val="0"/>
          <w:sz w:val="32"/>
          <w:szCs w:val="32"/>
        </w:rPr>
      </w:pPr>
      <w:r>
        <w:rPr>
          <w:rFonts w:hint="eastAsia" w:ascii="仿宋_GB2312" w:eastAsia="仿宋_GB2312"/>
          <w:kern w:val="0"/>
          <w:sz w:val="32"/>
          <w:szCs w:val="32"/>
        </w:rPr>
        <w:t>NY 643  农用水泵安全技术要求</w:t>
      </w:r>
    </w:p>
    <w:p w14:paraId="5E07754E">
      <w:pPr>
        <w:pStyle w:val="10"/>
        <w:ind w:firstLine="640"/>
        <w:rPr>
          <w:rFonts w:ascii="仿宋_GB2312" w:eastAsia="仿宋_GB2312"/>
          <w:kern w:val="0"/>
          <w:sz w:val="32"/>
          <w:szCs w:val="32"/>
        </w:rPr>
      </w:pPr>
      <w:r>
        <w:rPr>
          <w:rFonts w:hint="eastAsia" w:ascii="仿宋_GB2312" w:eastAsia="仿宋_GB2312"/>
          <w:kern w:val="0"/>
          <w:sz w:val="32"/>
          <w:szCs w:val="32"/>
        </w:rPr>
        <w:t>NY 1107 大量元素水溶肥料</w:t>
      </w:r>
    </w:p>
    <w:p w14:paraId="089A23F4">
      <w:pPr>
        <w:pStyle w:val="10"/>
        <w:ind w:firstLine="640"/>
        <w:rPr>
          <w:rFonts w:ascii="仿宋_GB2312" w:eastAsia="仿宋_GB2312"/>
          <w:kern w:val="0"/>
          <w:sz w:val="32"/>
          <w:szCs w:val="32"/>
        </w:rPr>
      </w:pPr>
      <w:r>
        <w:rPr>
          <w:rFonts w:hint="eastAsia" w:ascii="仿宋_GB2312" w:eastAsia="仿宋_GB2312"/>
          <w:kern w:val="0"/>
          <w:sz w:val="32"/>
          <w:szCs w:val="32"/>
        </w:rPr>
        <w:t>NY/T 496 肥料合理使用准则 通则</w:t>
      </w:r>
    </w:p>
    <w:p w14:paraId="4C5AB4C6">
      <w:pPr>
        <w:pStyle w:val="10"/>
        <w:ind w:firstLine="640"/>
        <w:rPr>
          <w:rFonts w:ascii="仿宋_GB2312" w:eastAsia="仿宋_GB2312"/>
          <w:kern w:val="0"/>
          <w:sz w:val="32"/>
          <w:szCs w:val="32"/>
        </w:rPr>
      </w:pPr>
      <w:r>
        <w:rPr>
          <w:rFonts w:ascii="仿宋_GB2312" w:eastAsia="仿宋_GB2312"/>
          <w:kern w:val="0"/>
          <w:sz w:val="32"/>
          <w:szCs w:val="32"/>
        </w:rPr>
        <w:t>NY/T 1276 </w:t>
      </w:r>
      <w:r>
        <w:rPr>
          <w:rFonts w:hint="eastAsia" w:ascii="仿宋_GB2312" w:eastAsia="仿宋_GB2312"/>
          <w:kern w:val="0"/>
          <w:sz w:val="32"/>
          <w:szCs w:val="32"/>
        </w:rPr>
        <w:t>农药安全使用规范总则</w:t>
      </w:r>
    </w:p>
    <w:p w14:paraId="192080BC">
      <w:pPr>
        <w:pStyle w:val="10"/>
        <w:ind w:firstLine="640"/>
        <w:rPr>
          <w:rFonts w:ascii="仿宋_GB2312" w:eastAsia="仿宋_GB2312"/>
          <w:kern w:val="0"/>
          <w:sz w:val="32"/>
          <w:szCs w:val="32"/>
        </w:rPr>
      </w:pPr>
      <w:r>
        <w:rPr>
          <w:rFonts w:ascii="仿宋_GB2312" w:eastAsia="仿宋_GB2312"/>
          <w:kern w:val="0"/>
          <w:sz w:val="32"/>
          <w:szCs w:val="32"/>
        </w:rPr>
        <w:t>NY/T 1355 </w:t>
      </w:r>
      <w:r>
        <w:rPr>
          <w:rFonts w:hint="eastAsia" w:ascii="仿宋_GB2312" w:eastAsia="仿宋_GB2312"/>
          <w:kern w:val="0"/>
          <w:sz w:val="32"/>
          <w:szCs w:val="32"/>
        </w:rPr>
        <w:t>玉米收获机</w:t>
      </w:r>
      <w:r>
        <w:rPr>
          <w:rFonts w:ascii="仿宋_GB2312" w:eastAsia="仿宋_GB2312"/>
          <w:kern w:val="0"/>
          <w:sz w:val="32"/>
          <w:szCs w:val="32"/>
        </w:rPr>
        <w:t xml:space="preserve"> </w:t>
      </w:r>
      <w:r>
        <w:rPr>
          <w:rFonts w:hint="eastAsia" w:ascii="仿宋_GB2312" w:eastAsia="仿宋_GB2312"/>
          <w:kern w:val="0"/>
          <w:sz w:val="32"/>
          <w:szCs w:val="32"/>
        </w:rPr>
        <w:t>作业质量</w:t>
      </w:r>
    </w:p>
    <w:p w14:paraId="3CE7B8C3">
      <w:pPr>
        <w:pStyle w:val="10"/>
        <w:ind w:firstLine="640"/>
        <w:rPr>
          <w:rFonts w:ascii="仿宋_GB2312" w:eastAsia="仿宋_GB2312"/>
          <w:kern w:val="0"/>
          <w:sz w:val="32"/>
          <w:szCs w:val="32"/>
        </w:rPr>
      </w:pPr>
      <w:r>
        <w:rPr>
          <w:rFonts w:hint="eastAsia" w:ascii="仿宋_GB2312" w:eastAsia="仿宋_GB2312"/>
          <w:kern w:val="0"/>
          <w:sz w:val="32"/>
          <w:szCs w:val="32"/>
        </w:rPr>
        <w:t>DB4105/T 169  主要粮食作物病虫害绿色防控技术规程</w:t>
      </w:r>
    </w:p>
    <w:p w14:paraId="179BDCBD">
      <w:pPr>
        <w:snapToGrid w:val="0"/>
        <w:spacing w:line="360" w:lineRule="auto"/>
        <w:ind w:firstLine="627" w:firstLineChars="196"/>
        <w:rPr>
          <w:rFonts w:ascii="仿宋_GB2312" w:eastAsia="仿宋_GB2312"/>
          <w:kern w:val="0"/>
          <w:sz w:val="28"/>
          <w:szCs w:val="28"/>
        </w:rPr>
      </w:pPr>
      <w:r>
        <w:rPr>
          <w:rFonts w:hint="eastAsia" w:ascii="黑体" w:hAnsi="黑体" w:eastAsia="黑体"/>
          <w:kern w:val="0"/>
          <w:sz w:val="32"/>
          <w:szCs w:val="32"/>
        </w:rPr>
        <w:t>三、编制过程</w:t>
      </w:r>
    </w:p>
    <w:p w14:paraId="56971DDC">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1.主要起草单位：《玉米适密水肥一体化生产技术规程》新乡市地方标准起草单位主要有</w:t>
      </w:r>
      <w:r>
        <w:rPr>
          <w:rFonts w:ascii="仿宋_GB2312" w:eastAsia="仿宋_GB2312"/>
          <w:kern w:val="0"/>
          <w:sz w:val="32"/>
          <w:szCs w:val="32"/>
        </w:rPr>
        <w:t>河南心连心化学工业集团股份有限公司、</w:t>
      </w:r>
      <w:r>
        <w:rPr>
          <w:rFonts w:hint="eastAsia" w:ascii="仿宋_GB2312" w:eastAsia="仿宋_GB2312"/>
          <w:kern w:val="0"/>
          <w:sz w:val="32"/>
          <w:szCs w:val="32"/>
        </w:rPr>
        <w:t>河南省</w:t>
      </w:r>
      <w:r>
        <w:rPr>
          <w:rFonts w:ascii="仿宋_GB2312" w:eastAsia="仿宋_GB2312"/>
          <w:kern w:val="0"/>
          <w:sz w:val="32"/>
          <w:szCs w:val="32"/>
        </w:rPr>
        <w:t>农业科学院、新乡市种业发展服务中心、新乡县农业技术推广站、河南科技学院、</w:t>
      </w:r>
      <w:r>
        <w:rPr>
          <w:rFonts w:hint="eastAsia" w:ascii="仿宋_GB2312" w:eastAsia="仿宋_GB2312"/>
          <w:kern w:val="0"/>
          <w:sz w:val="32"/>
          <w:szCs w:val="32"/>
        </w:rPr>
        <w:t>河南</w:t>
      </w:r>
      <w:r>
        <w:rPr>
          <w:rFonts w:ascii="仿宋_GB2312" w:eastAsia="仿宋_GB2312"/>
          <w:kern w:val="0"/>
          <w:sz w:val="32"/>
          <w:szCs w:val="32"/>
        </w:rPr>
        <w:t>金海种业有限公司。</w:t>
      </w:r>
    </w:p>
    <w:p w14:paraId="643C74EB">
      <w:pPr>
        <w:ind w:firstLine="640" w:firstLineChars="200"/>
        <w:rPr>
          <w:rFonts w:ascii="仿宋_GB2312" w:eastAsia="仿宋_GB2312"/>
          <w:kern w:val="0"/>
          <w:sz w:val="32"/>
          <w:szCs w:val="32"/>
        </w:rPr>
      </w:pPr>
      <w:r>
        <w:rPr>
          <w:rFonts w:hint="eastAsia" w:ascii="仿宋_GB2312" w:eastAsia="仿宋_GB2312"/>
          <w:kern w:val="0"/>
          <w:sz w:val="32"/>
          <w:szCs w:val="32"/>
        </w:rPr>
        <w:t>2、主要起草人：该标准由任荣魁、</w:t>
      </w:r>
      <w:r>
        <w:rPr>
          <w:rFonts w:ascii="仿宋_GB2312" w:eastAsia="仿宋_GB2312"/>
          <w:kern w:val="0"/>
          <w:sz w:val="32"/>
          <w:szCs w:val="32"/>
        </w:rPr>
        <w:t>张书红、</w:t>
      </w:r>
      <w:r>
        <w:rPr>
          <w:rFonts w:hint="eastAsia" w:ascii="仿宋_GB2312" w:eastAsia="仿宋_GB2312"/>
          <w:kern w:val="0"/>
          <w:sz w:val="32"/>
          <w:szCs w:val="32"/>
        </w:rPr>
        <w:t>武志斌、</w:t>
      </w:r>
      <w:r>
        <w:rPr>
          <w:rFonts w:ascii="仿宋_GB2312" w:eastAsia="仿宋_GB2312"/>
          <w:kern w:val="0"/>
          <w:sz w:val="32"/>
          <w:szCs w:val="32"/>
        </w:rPr>
        <w:t>张丹丹、刘艳梅、</w:t>
      </w:r>
      <w:r>
        <w:rPr>
          <w:rFonts w:hint="eastAsia" w:ascii="仿宋_GB2312" w:eastAsia="仿宋_GB2312"/>
          <w:kern w:val="0"/>
          <w:sz w:val="32"/>
          <w:szCs w:val="32"/>
        </w:rPr>
        <w:t>董向阳、</w:t>
      </w:r>
      <w:r>
        <w:rPr>
          <w:rFonts w:hint="eastAsia" w:ascii="仿宋_GB2312" w:eastAsia="仿宋_GB2312"/>
          <w:kern w:val="0"/>
          <w:sz w:val="32"/>
          <w:szCs w:val="32"/>
          <w:highlight w:val="none"/>
        </w:rPr>
        <w:t>谢丹、</w:t>
      </w:r>
      <w:r>
        <w:rPr>
          <w:rFonts w:hint="eastAsia" w:ascii="仿宋_GB2312" w:eastAsia="仿宋_GB2312"/>
          <w:kern w:val="0"/>
          <w:sz w:val="32"/>
          <w:szCs w:val="32"/>
        </w:rPr>
        <w:t>鲁晓民、</w:t>
      </w:r>
      <w:r>
        <w:rPr>
          <w:rFonts w:ascii="仿宋_GB2312" w:eastAsia="仿宋_GB2312"/>
          <w:kern w:val="0"/>
          <w:sz w:val="32"/>
          <w:szCs w:val="32"/>
        </w:rPr>
        <w:t>王家琪</w:t>
      </w:r>
      <w:r>
        <w:rPr>
          <w:rFonts w:hint="eastAsia" w:ascii="仿宋_GB2312" w:eastAsia="仿宋_GB2312"/>
          <w:kern w:val="0"/>
          <w:sz w:val="32"/>
          <w:szCs w:val="32"/>
        </w:rPr>
        <w:t>、朱仁胜、梅沛沛、何建国</w:t>
      </w:r>
      <w:r>
        <w:rPr>
          <w:rFonts w:ascii="仿宋_GB2312" w:eastAsia="仿宋_GB2312"/>
          <w:kern w:val="0"/>
          <w:sz w:val="32"/>
          <w:szCs w:val="32"/>
        </w:rPr>
        <w:t>起草，地方标准主要起草人及任务分工如下：</w:t>
      </w:r>
      <w:r>
        <w:rPr>
          <w:rFonts w:hint="eastAsia" w:ascii="仿宋_GB2312" w:eastAsia="仿宋_GB2312"/>
          <w:kern w:val="0"/>
          <w:sz w:val="32"/>
          <w:szCs w:val="32"/>
        </w:rPr>
        <w:t xml:space="preserve"> </w:t>
      </w:r>
    </w:p>
    <w:tbl>
      <w:tblPr>
        <w:tblStyle w:val="5"/>
        <w:tblW w:w="8332" w:type="dxa"/>
        <w:tblInd w:w="423" w:type="dxa"/>
        <w:tblLayout w:type="fixed"/>
        <w:tblCellMar>
          <w:top w:w="0" w:type="dxa"/>
          <w:left w:w="108" w:type="dxa"/>
          <w:bottom w:w="0" w:type="dxa"/>
          <w:right w:w="108" w:type="dxa"/>
        </w:tblCellMar>
      </w:tblPr>
      <w:tblGrid>
        <w:gridCol w:w="961"/>
        <w:gridCol w:w="425"/>
        <w:gridCol w:w="1560"/>
        <w:gridCol w:w="3827"/>
        <w:gridCol w:w="1559"/>
      </w:tblGrid>
      <w:tr w14:paraId="775C8D3F">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195620E4">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姓 名</w:t>
            </w:r>
          </w:p>
        </w:tc>
        <w:tc>
          <w:tcPr>
            <w:tcW w:w="425" w:type="dxa"/>
            <w:tcBorders>
              <w:top w:val="single" w:color="000000" w:sz="4" w:space="0"/>
              <w:left w:val="nil"/>
              <w:bottom w:val="single" w:color="000000" w:sz="4" w:space="0"/>
              <w:right w:val="single" w:color="000000" w:sz="4" w:space="0"/>
            </w:tcBorders>
            <w:vAlign w:val="center"/>
          </w:tcPr>
          <w:p w14:paraId="1680B7D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性别</w:t>
            </w:r>
          </w:p>
        </w:tc>
        <w:tc>
          <w:tcPr>
            <w:tcW w:w="1560" w:type="dxa"/>
            <w:tcBorders>
              <w:top w:val="single" w:color="000000" w:sz="4" w:space="0"/>
              <w:left w:val="nil"/>
              <w:bottom w:val="single" w:color="000000" w:sz="4" w:space="0"/>
              <w:right w:val="single" w:color="000000" w:sz="4" w:space="0"/>
            </w:tcBorders>
            <w:vAlign w:val="center"/>
          </w:tcPr>
          <w:p w14:paraId="17293168">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职务/职称</w:t>
            </w:r>
          </w:p>
        </w:tc>
        <w:tc>
          <w:tcPr>
            <w:tcW w:w="3827" w:type="dxa"/>
            <w:tcBorders>
              <w:top w:val="single" w:color="000000" w:sz="4" w:space="0"/>
              <w:left w:val="nil"/>
              <w:bottom w:val="single" w:color="000000" w:sz="4" w:space="0"/>
              <w:right w:val="single" w:color="000000" w:sz="4" w:space="0"/>
            </w:tcBorders>
            <w:vAlign w:val="center"/>
          </w:tcPr>
          <w:p w14:paraId="07C38B82">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工作单位</w:t>
            </w:r>
          </w:p>
        </w:tc>
        <w:tc>
          <w:tcPr>
            <w:tcW w:w="1559" w:type="dxa"/>
            <w:tcBorders>
              <w:top w:val="single" w:color="000000" w:sz="4" w:space="0"/>
              <w:left w:val="nil"/>
              <w:bottom w:val="single" w:color="000000" w:sz="4" w:space="0"/>
              <w:right w:val="single" w:color="000000" w:sz="4" w:space="0"/>
            </w:tcBorders>
            <w:vAlign w:val="center"/>
          </w:tcPr>
          <w:p w14:paraId="4F4C7F19">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任务分工</w:t>
            </w:r>
          </w:p>
        </w:tc>
      </w:tr>
      <w:tr w14:paraId="501F82FC">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1AE7674A">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任荣魁</w:t>
            </w:r>
          </w:p>
        </w:tc>
        <w:tc>
          <w:tcPr>
            <w:tcW w:w="425" w:type="dxa"/>
            <w:tcBorders>
              <w:top w:val="single" w:color="000000" w:sz="4" w:space="0"/>
              <w:left w:val="nil"/>
              <w:bottom w:val="single" w:color="000000" w:sz="4" w:space="0"/>
              <w:right w:val="single" w:color="000000" w:sz="4" w:space="0"/>
            </w:tcBorders>
            <w:vAlign w:val="center"/>
          </w:tcPr>
          <w:p w14:paraId="7EED7B06">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男</w:t>
            </w:r>
          </w:p>
        </w:tc>
        <w:tc>
          <w:tcPr>
            <w:tcW w:w="1560" w:type="dxa"/>
            <w:tcBorders>
              <w:top w:val="single" w:color="000000" w:sz="4" w:space="0"/>
              <w:left w:val="nil"/>
              <w:bottom w:val="single" w:color="000000" w:sz="4" w:space="0"/>
              <w:right w:val="single" w:color="000000" w:sz="4" w:space="0"/>
            </w:tcBorders>
            <w:vAlign w:val="center"/>
          </w:tcPr>
          <w:p w14:paraId="612A84F1">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高级工程师</w:t>
            </w:r>
          </w:p>
        </w:tc>
        <w:tc>
          <w:tcPr>
            <w:tcW w:w="3827" w:type="dxa"/>
            <w:tcBorders>
              <w:top w:val="single" w:color="000000" w:sz="4" w:space="0"/>
              <w:left w:val="nil"/>
              <w:bottom w:val="single" w:color="000000" w:sz="4" w:space="0"/>
              <w:right w:val="single" w:color="000000" w:sz="4" w:space="0"/>
            </w:tcBorders>
            <w:vAlign w:val="center"/>
          </w:tcPr>
          <w:p w14:paraId="3977835F">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河南心连心化学工业集团股份有限公司</w:t>
            </w:r>
          </w:p>
        </w:tc>
        <w:tc>
          <w:tcPr>
            <w:tcW w:w="1559" w:type="dxa"/>
            <w:tcBorders>
              <w:top w:val="single" w:color="000000" w:sz="4" w:space="0"/>
              <w:left w:val="nil"/>
              <w:bottom w:val="single" w:color="000000" w:sz="4" w:space="0"/>
              <w:right w:val="single" w:color="000000" w:sz="4" w:space="0"/>
            </w:tcBorders>
            <w:vAlign w:val="center"/>
          </w:tcPr>
          <w:p w14:paraId="53C6EF97">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主持</w:t>
            </w:r>
          </w:p>
        </w:tc>
      </w:tr>
      <w:tr w14:paraId="10C01500">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33679262">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张书红</w:t>
            </w:r>
          </w:p>
        </w:tc>
        <w:tc>
          <w:tcPr>
            <w:tcW w:w="425" w:type="dxa"/>
            <w:tcBorders>
              <w:top w:val="single" w:color="000000" w:sz="4" w:space="0"/>
              <w:left w:val="nil"/>
              <w:bottom w:val="single" w:color="000000" w:sz="4" w:space="0"/>
              <w:right w:val="single" w:color="000000" w:sz="4" w:space="0"/>
            </w:tcBorders>
            <w:vAlign w:val="center"/>
          </w:tcPr>
          <w:p w14:paraId="1E811653">
            <w:pPr>
              <w:widowControl/>
              <w:jc w:val="center"/>
              <w:rPr>
                <w:rFonts w:ascii="仿宋_GB2312" w:eastAsia="仿宋_GB2312"/>
                <w:kern w:val="0"/>
                <w:szCs w:val="21"/>
              </w:rPr>
            </w:pPr>
            <w:r>
              <w:rPr>
                <w:rFonts w:hint="eastAsia" w:ascii="仿宋_GB2312" w:eastAsia="仿宋_GB2312"/>
                <w:kern w:val="0"/>
                <w:szCs w:val="21"/>
              </w:rPr>
              <w:t>女</w:t>
            </w:r>
          </w:p>
        </w:tc>
        <w:tc>
          <w:tcPr>
            <w:tcW w:w="1560" w:type="dxa"/>
            <w:tcBorders>
              <w:top w:val="single" w:color="000000" w:sz="4" w:space="0"/>
              <w:left w:val="nil"/>
              <w:bottom w:val="single" w:color="000000" w:sz="4" w:space="0"/>
              <w:right w:val="single" w:color="000000" w:sz="4" w:space="0"/>
            </w:tcBorders>
            <w:vAlign w:val="center"/>
          </w:tcPr>
          <w:p w14:paraId="2A981826">
            <w:pPr>
              <w:widowControl/>
              <w:jc w:val="center"/>
              <w:rPr>
                <w:rFonts w:ascii="仿宋_GB2312" w:eastAsia="仿宋_GB2312"/>
                <w:kern w:val="0"/>
                <w:szCs w:val="21"/>
              </w:rPr>
            </w:pPr>
            <w:r>
              <w:rPr>
                <w:rFonts w:hint="eastAsia" w:ascii="仿宋_GB2312" w:eastAsia="仿宋_GB2312"/>
                <w:kern w:val="0"/>
                <w:szCs w:val="21"/>
              </w:rPr>
              <w:t>高级农艺师</w:t>
            </w:r>
          </w:p>
        </w:tc>
        <w:tc>
          <w:tcPr>
            <w:tcW w:w="3827" w:type="dxa"/>
            <w:tcBorders>
              <w:top w:val="single" w:color="000000" w:sz="4" w:space="0"/>
              <w:left w:val="nil"/>
              <w:bottom w:val="single" w:color="000000" w:sz="4" w:space="0"/>
              <w:right w:val="single" w:color="000000" w:sz="4" w:space="0"/>
            </w:tcBorders>
            <w:vAlign w:val="center"/>
          </w:tcPr>
          <w:p w14:paraId="385BD162">
            <w:pPr>
              <w:widowControl/>
              <w:jc w:val="center"/>
              <w:rPr>
                <w:rFonts w:ascii="仿宋_GB2312" w:eastAsia="仿宋_GB2312"/>
                <w:kern w:val="0"/>
                <w:szCs w:val="21"/>
              </w:rPr>
            </w:pPr>
            <w:r>
              <w:rPr>
                <w:rFonts w:hint="eastAsia" w:ascii="仿宋_GB2312" w:eastAsia="仿宋_GB2312"/>
                <w:kern w:val="0"/>
                <w:szCs w:val="21"/>
              </w:rPr>
              <w:t>河南心连心化学工业集团股份有限公司</w:t>
            </w:r>
          </w:p>
        </w:tc>
        <w:tc>
          <w:tcPr>
            <w:tcW w:w="1559" w:type="dxa"/>
            <w:tcBorders>
              <w:top w:val="single" w:color="000000" w:sz="4" w:space="0"/>
              <w:left w:val="nil"/>
              <w:bottom w:val="single" w:color="000000" w:sz="4" w:space="0"/>
              <w:right w:val="single" w:color="000000" w:sz="4" w:space="0"/>
            </w:tcBorders>
            <w:vAlign w:val="center"/>
          </w:tcPr>
          <w:p w14:paraId="3A4751A1">
            <w:pPr>
              <w:widowControl/>
              <w:jc w:val="center"/>
              <w:rPr>
                <w:rFonts w:ascii="仿宋_GB2312" w:eastAsia="仿宋_GB2312"/>
                <w:kern w:val="0"/>
                <w:szCs w:val="21"/>
              </w:rPr>
            </w:pPr>
            <w:r>
              <w:rPr>
                <w:rFonts w:hint="eastAsia" w:ascii="仿宋_GB2312" w:hAnsi="仿宋_GB2312" w:eastAsia="仿宋_GB2312" w:cs="仿宋_GB2312"/>
                <w:kern w:val="0"/>
                <w:szCs w:val="21"/>
              </w:rPr>
              <w:t>主持、统稿</w:t>
            </w:r>
          </w:p>
        </w:tc>
      </w:tr>
      <w:tr w14:paraId="55218340">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16A8E733">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武志斌</w:t>
            </w:r>
          </w:p>
        </w:tc>
        <w:tc>
          <w:tcPr>
            <w:tcW w:w="425" w:type="dxa"/>
            <w:tcBorders>
              <w:top w:val="single" w:color="000000" w:sz="4" w:space="0"/>
              <w:left w:val="nil"/>
              <w:bottom w:val="single" w:color="000000" w:sz="4" w:space="0"/>
              <w:right w:val="single" w:color="000000" w:sz="4" w:space="0"/>
            </w:tcBorders>
            <w:vAlign w:val="center"/>
          </w:tcPr>
          <w:p w14:paraId="21C470FD">
            <w:pPr>
              <w:widowControl/>
              <w:jc w:val="center"/>
              <w:rPr>
                <w:rFonts w:ascii="仿宋_GB2312" w:eastAsia="仿宋_GB2312"/>
                <w:kern w:val="0"/>
                <w:szCs w:val="21"/>
              </w:rPr>
            </w:pPr>
            <w:r>
              <w:rPr>
                <w:rFonts w:hint="eastAsia" w:ascii="仿宋_GB2312" w:eastAsia="仿宋_GB2312"/>
                <w:kern w:val="0"/>
                <w:szCs w:val="21"/>
              </w:rPr>
              <w:t>男</w:t>
            </w:r>
          </w:p>
        </w:tc>
        <w:tc>
          <w:tcPr>
            <w:tcW w:w="1560" w:type="dxa"/>
            <w:tcBorders>
              <w:top w:val="single" w:color="000000" w:sz="4" w:space="0"/>
              <w:left w:val="nil"/>
              <w:bottom w:val="single" w:color="000000" w:sz="4" w:space="0"/>
              <w:right w:val="single" w:color="000000" w:sz="4" w:space="0"/>
            </w:tcBorders>
            <w:vAlign w:val="center"/>
          </w:tcPr>
          <w:p w14:paraId="4C66B3C7">
            <w:pPr>
              <w:widowControl/>
              <w:jc w:val="center"/>
              <w:rPr>
                <w:rFonts w:ascii="仿宋_GB2312" w:eastAsia="仿宋_GB2312"/>
                <w:kern w:val="0"/>
                <w:szCs w:val="21"/>
              </w:rPr>
            </w:pPr>
            <w:r>
              <w:rPr>
                <w:rFonts w:hint="eastAsia" w:ascii="仿宋_GB2312" w:eastAsia="仿宋_GB2312"/>
                <w:kern w:val="0"/>
                <w:szCs w:val="21"/>
              </w:rPr>
              <w:t>正高级农艺师</w:t>
            </w:r>
          </w:p>
        </w:tc>
        <w:tc>
          <w:tcPr>
            <w:tcW w:w="3827" w:type="dxa"/>
            <w:tcBorders>
              <w:top w:val="single" w:color="000000" w:sz="4" w:space="0"/>
              <w:left w:val="nil"/>
              <w:bottom w:val="single" w:color="000000" w:sz="4" w:space="0"/>
              <w:right w:val="single" w:color="000000" w:sz="4" w:space="0"/>
            </w:tcBorders>
            <w:vAlign w:val="center"/>
          </w:tcPr>
          <w:p w14:paraId="2A7BA2BE">
            <w:pPr>
              <w:widowControl/>
              <w:jc w:val="center"/>
              <w:rPr>
                <w:rFonts w:ascii="仿宋_GB2312" w:eastAsia="仿宋_GB2312"/>
                <w:kern w:val="0"/>
                <w:szCs w:val="21"/>
              </w:rPr>
            </w:pPr>
            <w:r>
              <w:rPr>
                <w:rFonts w:hint="eastAsia" w:ascii="仿宋_GB2312" w:eastAsia="仿宋_GB2312"/>
                <w:kern w:val="0"/>
                <w:szCs w:val="21"/>
                <w:highlight w:val="none"/>
              </w:rPr>
              <w:t>新乡市种业发展服务中心</w:t>
            </w:r>
          </w:p>
        </w:tc>
        <w:tc>
          <w:tcPr>
            <w:tcW w:w="1559" w:type="dxa"/>
            <w:tcBorders>
              <w:top w:val="single" w:color="000000" w:sz="4" w:space="0"/>
              <w:left w:val="nil"/>
              <w:bottom w:val="single" w:color="000000" w:sz="4" w:space="0"/>
              <w:right w:val="single" w:color="000000" w:sz="4" w:space="0"/>
            </w:tcBorders>
            <w:vAlign w:val="center"/>
          </w:tcPr>
          <w:p w14:paraId="7C3893EC">
            <w:pPr>
              <w:widowControl/>
              <w:jc w:val="center"/>
              <w:rPr>
                <w:rFonts w:ascii="仿宋_GB2312" w:eastAsia="仿宋_GB2312"/>
                <w:kern w:val="0"/>
                <w:szCs w:val="21"/>
              </w:rPr>
            </w:pPr>
            <w:r>
              <w:rPr>
                <w:rFonts w:hint="eastAsia" w:ascii="仿宋_GB2312" w:eastAsia="仿宋_GB2312"/>
                <w:kern w:val="0"/>
                <w:szCs w:val="21"/>
              </w:rPr>
              <w:t>用肥推荐</w:t>
            </w:r>
          </w:p>
        </w:tc>
      </w:tr>
      <w:tr w14:paraId="4E622950">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376EA700">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张丹丹</w:t>
            </w:r>
          </w:p>
        </w:tc>
        <w:tc>
          <w:tcPr>
            <w:tcW w:w="425" w:type="dxa"/>
            <w:tcBorders>
              <w:top w:val="single" w:color="000000" w:sz="4" w:space="0"/>
              <w:left w:val="nil"/>
              <w:bottom w:val="single" w:color="000000" w:sz="4" w:space="0"/>
              <w:right w:val="single" w:color="000000" w:sz="4" w:space="0"/>
            </w:tcBorders>
            <w:vAlign w:val="center"/>
          </w:tcPr>
          <w:p w14:paraId="71E4AEC8">
            <w:pPr>
              <w:widowControl/>
              <w:jc w:val="center"/>
              <w:rPr>
                <w:rFonts w:ascii="仿宋_GB2312" w:eastAsia="仿宋_GB2312"/>
                <w:kern w:val="0"/>
                <w:szCs w:val="21"/>
              </w:rPr>
            </w:pPr>
            <w:r>
              <w:rPr>
                <w:rFonts w:hint="eastAsia" w:ascii="仿宋_GB2312" w:eastAsia="仿宋_GB2312"/>
                <w:kern w:val="0"/>
                <w:szCs w:val="21"/>
              </w:rPr>
              <w:t>女</w:t>
            </w:r>
          </w:p>
        </w:tc>
        <w:tc>
          <w:tcPr>
            <w:tcW w:w="1560" w:type="dxa"/>
            <w:tcBorders>
              <w:top w:val="single" w:color="000000" w:sz="4" w:space="0"/>
              <w:left w:val="nil"/>
              <w:bottom w:val="single" w:color="000000" w:sz="4" w:space="0"/>
              <w:right w:val="single" w:color="000000" w:sz="4" w:space="0"/>
            </w:tcBorders>
            <w:vAlign w:val="center"/>
          </w:tcPr>
          <w:p w14:paraId="3C07841C">
            <w:pPr>
              <w:widowControl/>
              <w:jc w:val="center"/>
              <w:rPr>
                <w:rFonts w:ascii="仿宋_GB2312" w:eastAsia="仿宋_GB2312"/>
                <w:kern w:val="0"/>
                <w:szCs w:val="21"/>
              </w:rPr>
            </w:pPr>
            <w:r>
              <w:rPr>
                <w:rFonts w:hint="eastAsia" w:ascii="仿宋_GB2312" w:eastAsia="仿宋_GB2312"/>
                <w:kern w:val="0"/>
                <w:szCs w:val="21"/>
              </w:rPr>
              <w:t>农艺师</w:t>
            </w:r>
          </w:p>
        </w:tc>
        <w:tc>
          <w:tcPr>
            <w:tcW w:w="3827" w:type="dxa"/>
            <w:tcBorders>
              <w:top w:val="single" w:color="000000" w:sz="4" w:space="0"/>
              <w:left w:val="nil"/>
              <w:bottom w:val="single" w:color="000000" w:sz="4" w:space="0"/>
              <w:right w:val="single" w:color="000000" w:sz="4" w:space="0"/>
            </w:tcBorders>
            <w:vAlign w:val="center"/>
          </w:tcPr>
          <w:p w14:paraId="65C4126A">
            <w:pPr>
              <w:widowControl/>
              <w:jc w:val="center"/>
              <w:rPr>
                <w:rFonts w:ascii="仿宋_GB2312" w:eastAsia="仿宋_GB2312"/>
                <w:kern w:val="0"/>
                <w:szCs w:val="21"/>
              </w:rPr>
            </w:pPr>
            <w:r>
              <w:rPr>
                <w:rFonts w:hint="eastAsia" w:ascii="仿宋_GB2312" w:eastAsia="仿宋_GB2312"/>
                <w:kern w:val="0"/>
                <w:szCs w:val="21"/>
              </w:rPr>
              <w:t>河南心连心化学工业集团股份有限公司</w:t>
            </w:r>
          </w:p>
        </w:tc>
        <w:tc>
          <w:tcPr>
            <w:tcW w:w="1559" w:type="dxa"/>
            <w:tcBorders>
              <w:top w:val="single" w:color="000000" w:sz="4" w:space="0"/>
              <w:left w:val="nil"/>
              <w:bottom w:val="single" w:color="000000" w:sz="4" w:space="0"/>
              <w:right w:val="single" w:color="000000" w:sz="4" w:space="0"/>
            </w:tcBorders>
            <w:vAlign w:val="center"/>
          </w:tcPr>
          <w:p w14:paraId="4EE650C6">
            <w:pPr>
              <w:widowControl/>
              <w:jc w:val="center"/>
              <w:rPr>
                <w:rFonts w:ascii="仿宋_GB2312" w:eastAsia="仿宋_GB2312"/>
                <w:kern w:val="0"/>
                <w:szCs w:val="21"/>
              </w:rPr>
            </w:pPr>
            <w:r>
              <w:rPr>
                <w:rFonts w:hint="eastAsia" w:ascii="仿宋_GB2312" w:eastAsia="仿宋_GB2312"/>
                <w:kern w:val="0"/>
                <w:szCs w:val="21"/>
              </w:rPr>
              <w:t>试验实施、栽培管理</w:t>
            </w:r>
          </w:p>
        </w:tc>
      </w:tr>
      <w:tr w14:paraId="0CC7256A">
        <w:tblPrEx>
          <w:tblCellMar>
            <w:top w:w="0" w:type="dxa"/>
            <w:left w:w="108" w:type="dxa"/>
            <w:bottom w:w="0" w:type="dxa"/>
            <w:right w:w="108" w:type="dxa"/>
          </w:tblCellMar>
        </w:tblPrEx>
        <w:trPr>
          <w:trHeight w:val="90" w:hRule="atLeast"/>
        </w:trPr>
        <w:tc>
          <w:tcPr>
            <w:tcW w:w="961" w:type="dxa"/>
            <w:tcBorders>
              <w:top w:val="single" w:color="000000" w:sz="4" w:space="0"/>
              <w:left w:val="single" w:color="000000" w:sz="4" w:space="0"/>
              <w:bottom w:val="single" w:color="000000" w:sz="4" w:space="0"/>
              <w:right w:val="single" w:color="000000" w:sz="4" w:space="0"/>
            </w:tcBorders>
            <w:vAlign w:val="center"/>
          </w:tcPr>
          <w:p w14:paraId="50E4E4C7">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刘艳梅</w:t>
            </w:r>
          </w:p>
        </w:tc>
        <w:tc>
          <w:tcPr>
            <w:tcW w:w="425" w:type="dxa"/>
            <w:tcBorders>
              <w:top w:val="single" w:color="000000" w:sz="4" w:space="0"/>
              <w:left w:val="nil"/>
              <w:bottom w:val="single" w:color="000000" w:sz="4" w:space="0"/>
              <w:right w:val="single" w:color="000000" w:sz="4" w:space="0"/>
            </w:tcBorders>
            <w:vAlign w:val="center"/>
          </w:tcPr>
          <w:p w14:paraId="16030FC3">
            <w:pPr>
              <w:widowControl/>
              <w:jc w:val="center"/>
              <w:rPr>
                <w:rFonts w:ascii="仿宋_GB2312" w:eastAsia="仿宋_GB2312"/>
                <w:kern w:val="0"/>
                <w:szCs w:val="21"/>
              </w:rPr>
            </w:pPr>
            <w:r>
              <w:rPr>
                <w:rFonts w:hint="eastAsia" w:ascii="仿宋_GB2312" w:eastAsia="仿宋_GB2312"/>
                <w:kern w:val="0"/>
                <w:szCs w:val="21"/>
              </w:rPr>
              <w:t>女</w:t>
            </w:r>
          </w:p>
        </w:tc>
        <w:tc>
          <w:tcPr>
            <w:tcW w:w="1560" w:type="dxa"/>
            <w:tcBorders>
              <w:top w:val="single" w:color="000000" w:sz="4" w:space="0"/>
              <w:left w:val="nil"/>
              <w:bottom w:val="single" w:color="000000" w:sz="4" w:space="0"/>
              <w:right w:val="single" w:color="000000" w:sz="4" w:space="0"/>
            </w:tcBorders>
            <w:vAlign w:val="center"/>
          </w:tcPr>
          <w:p w14:paraId="498D1CF8">
            <w:pPr>
              <w:widowControl/>
              <w:jc w:val="center"/>
              <w:rPr>
                <w:rFonts w:ascii="仿宋_GB2312" w:eastAsia="仿宋_GB2312"/>
                <w:kern w:val="0"/>
                <w:szCs w:val="21"/>
              </w:rPr>
            </w:pPr>
            <w:r>
              <w:rPr>
                <w:rFonts w:hint="eastAsia" w:ascii="仿宋_GB2312" w:eastAsia="仿宋_GB2312"/>
                <w:kern w:val="0"/>
                <w:szCs w:val="21"/>
              </w:rPr>
              <w:t>助理农艺师</w:t>
            </w:r>
          </w:p>
        </w:tc>
        <w:tc>
          <w:tcPr>
            <w:tcW w:w="3827" w:type="dxa"/>
            <w:tcBorders>
              <w:top w:val="single" w:color="000000" w:sz="4" w:space="0"/>
              <w:left w:val="nil"/>
              <w:bottom w:val="single" w:color="000000" w:sz="4" w:space="0"/>
              <w:right w:val="single" w:color="000000" w:sz="4" w:space="0"/>
            </w:tcBorders>
            <w:vAlign w:val="center"/>
          </w:tcPr>
          <w:p w14:paraId="38969D63">
            <w:pPr>
              <w:widowControl/>
              <w:jc w:val="center"/>
              <w:rPr>
                <w:rFonts w:ascii="仿宋_GB2312" w:eastAsia="仿宋_GB2312"/>
                <w:kern w:val="0"/>
                <w:szCs w:val="21"/>
              </w:rPr>
            </w:pPr>
            <w:r>
              <w:rPr>
                <w:rFonts w:hint="eastAsia" w:ascii="仿宋_GB2312" w:eastAsia="仿宋_GB2312"/>
                <w:kern w:val="0"/>
                <w:szCs w:val="21"/>
              </w:rPr>
              <w:t>河南心连心化学工业集团股份有限公司</w:t>
            </w:r>
          </w:p>
        </w:tc>
        <w:tc>
          <w:tcPr>
            <w:tcW w:w="1559" w:type="dxa"/>
            <w:tcBorders>
              <w:top w:val="single" w:color="000000" w:sz="4" w:space="0"/>
              <w:left w:val="nil"/>
              <w:bottom w:val="single" w:color="000000" w:sz="4" w:space="0"/>
              <w:right w:val="single" w:color="000000" w:sz="4" w:space="0"/>
            </w:tcBorders>
            <w:vAlign w:val="center"/>
          </w:tcPr>
          <w:p w14:paraId="70B941A4">
            <w:pPr>
              <w:widowControl/>
              <w:jc w:val="center"/>
              <w:rPr>
                <w:rFonts w:ascii="仿宋_GB2312" w:eastAsia="仿宋_GB2312"/>
                <w:kern w:val="0"/>
                <w:szCs w:val="21"/>
              </w:rPr>
            </w:pPr>
            <w:r>
              <w:rPr>
                <w:rFonts w:hint="eastAsia" w:ascii="仿宋_GB2312" w:eastAsia="仿宋_GB2312"/>
                <w:kern w:val="0"/>
                <w:szCs w:val="21"/>
              </w:rPr>
              <w:t>试验实施、栽培管理</w:t>
            </w:r>
          </w:p>
        </w:tc>
      </w:tr>
      <w:tr w14:paraId="5426A4B0">
        <w:tblPrEx>
          <w:tblCellMar>
            <w:top w:w="0" w:type="dxa"/>
            <w:left w:w="108" w:type="dxa"/>
            <w:bottom w:w="0" w:type="dxa"/>
            <w:right w:w="108" w:type="dxa"/>
          </w:tblCellMar>
        </w:tblPrEx>
        <w:trPr>
          <w:trHeight w:val="90" w:hRule="atLeast"/>
        </w:trPr>
        <w:tc>
          <w:tcPr>
            <w:tcW w:w="961" w:type="dxa"/>
            <w:tcBorders>
              <w:top w:val="single" w:color="000000" w:sz="4" w:space="0"/>
              <w:left w:val="single" w:color="000000" w:sz="4" w:space="0"/>
              <w:bottom w:val="single" w:color="000000" w:sz="4" w:space="0"/>
              <w:right w:val="single" w:color="000000" w:sz="4" w:space="0"/>
            </w:tcBorders>
            <w:vAlign w:val="center"/>
          </w:tcPr>
          <w:p w14:paraId="562F536B">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董向阳</w:t>
            </w:r>
          </w:p>
        </w:tc>
        <w:tc>
          <w:tcPr>
            <w:tcW w:w="425" w:type="dxa"/>
            <w:tcBorders>
              <w:top w:val="single" w:color="000000" w:sz="4" w:space="0"/>
              <w:left w:val="nil"/>
              <w:bottom w:val="single" w:color="000000" w:sz="4" w:space="0"/>
              <w:right w:val="single" w:color="000000" w:sz="4" w:space="0"/>
            </w:tcBorders>
            <w:vAlign w:val="center"/>
          </w:tcPr>
          <w:p w14:paraId="1035BAF7">
            <w:pPr>
              <w:widowControl/>
              <w:jc w:val="center"/>
              <w:rPr>
                <w:rFonts w:ascii="仿宋_GB2312" w:eastAsia="仿宋_GB2312"/>
                <w:kern w:val="0"/>
                <w:szCs w:val="21"/>
              </w:rPr>
            </w:pPr>
            <w:r>
              <w:rPr>
                <w:rFonts w:hint="eastAsia" w:ascii="仿宋_GB2312" w:eastAsia="仿宋_GB2312"/>
                <w:kern w:val="0"/>
                <w:szCs w:val="21"/>
              </w:rPr>
              <w:t>男</w:t>
            </w:r>
          </w:p>
        </w:tc>
        <w:tc>
          <w:tcPr>
            <w:tcW w:w="1560" w:type="dxa"/>
            <w:tcBorders>
              <w:top w:val="single" w:color="000000" w:sz="4" w:space="0"/>
              <w:left w:val="nil"/>
              <w:bottom w:val="single" w:color="000000" w:sz="4" w:space="0"/>
              <w:right w:val="single" w:color="000000" w:sz="4" w:space="0"/>
            </w:tcBorders>
            <w:vAlign w:val="center"/>
          </w:tcPr>
          <w:p w14:paraId="61CA3F81">
            <w:pPr>
              <w:widowControl/>
              <w:jc w:val="center"/>
              <w:rPr>
                <w:rFonts w:ascii="仿宋_GB2312" w:eastAsia="仿宋_GB2312"/>
                <w:kern w:val="0"/>
                <w:szCs w:val="21"/>
              </w:rPr>
            </w:pPr>
            <w:r>
              <w:rPr>
                <w:rFonts w:hint="eastAsia" w:ascii="仿宋_GB2312" w:eastAsia="仿宋_GB2312"/>
                <w:kern w:val="0"/>
                <w:szCs w:val="21"/>
              </w:rPr>
              <w:t>农艺师</w:t>
            </w:r>
          </w:p>
        </w:tc>
        <w:tc>
          <w:tcPr>
            <w:tcW w:w="3827" w:type="dxa"/>
            <w:tcBorders>
              <w:top w:val="single" w:color="000000" w:sz="4" w:space="0"/>
              <w:left w:val="nil"/>
              <w:bottom w:val="single" w:color="000000" w:sz="4" w:space="0"/>
              <w:right w:val="single" w:color="000000" w:sz="4" w:space="0"/>
            </w:tcBorders>
            <w:vAlign w:val="center"/>
          </w:tcPr>
          <w:p w14:paraId="646B7C30">
            <w:pPr>
              <w:widowControl/>
              <w:jc w:val="center"/>
              <w:rPr>
                <w:rFonts w:ascii="仿宋_GB2312" w:eastAsia="仿宋_GB2312"/>
                <w:kern w:val="0"/>
                <w:szCs w:val="21"/>
              </w:rPr>
            </w:pPr>
            <w:r>
              <w:rPr>
                <w:rFonts w:hint="eastAsia" w:ascii="仿宋_GB2312" w:eastAsia="仿宋_GB2312"/>
                <w:kern w:val="0"/>
                <w:szCs w:val="21"/>
              </w:rPr>
              <w:t>河南心连心化学工业集团股份有限公司</w:t>
            </w:r>
          </w:p>
        </w:tc>
        <w:tc>
          <w:tcPr>
            <w:tcW w:w="1559" w:type="dxa"/>
            <w:tcBorders>
              <w:top w:val="single" w:color="000000" w:sz="4" w:space="0"/>
              <w:left w:val="nil"/>
              <w:bottom w:val="single" w:color="000000" w:sz="4" w:space="0"/>
              <w:right w:val="single" w:color="000000" w:sz="4" w:space="0"/>
            </w:tcBorders>
            <w:vAlign w:val="center"/>
          </w:tcPr>
          <w:p w14:paraId="12880F9C">
            <w:pPr>
              <w:widowControl/>
              <w:jc w:val="center"/>
              <w:rPr>
                <w:rFonts w:ascii="仿宋_GB2312" w:eastAsia="仿宋_GB2312"/>
                <w:kern w:val="0"/>
                <w:szCs w:val="21"/>
              </w:rPr>
            </w:pPr>
            <w:r>
              <w:rPr>
                <w:rFonts w:hint="eastAsia" w:ascii="仿宋_GB2312" w:eastAsia="仿宋_GB2312"/>
                <w:kern w:val="0"/>
                <w:szCs w:val="21"/>
              </w:rPr>
              <w:t>试验实施</w:t>
            </w:r>
          </w:p>
        </w:tc>
      </w:tr>
      <w:tr w14:paraId="5E5805FF">
        <w:tblPrEx>
          <w:tblCellMar>
            <w:top w:w="0" w:type="dxa"/>
            <w:left w:w="108" w:type="dxa"/>
            <w:bottom w:w="0" w:type="dxa"/>
            <w:right w:w="108" w:type="dxa"/>
          </w:tblCellMar>
        </w:tblPrEx>
        <w:trPr>
          <w:trHeight w:val="90" w:hRule="atLeast"/>
        </w:trPr>
        <w:tc>
          <w:tcPr>
            <w:tcW w:w="961" w:type="dxa"/>
            <w:tcBorders>
              <w:top w:val="single" w:color="000000" w:sz="4" w:space="0"/>
              <w:left w:val="single" w:color="000000" w:sz="4" w:space="0"/>
              <w:bottom w:val="single" w:color="000000" w:sz="4" w:space="0"/>
              <w:right w:val="single" w:color="000000" w:sz="4" w:space="0"/>
            </w:tcBorders>
            <w:vAlign w:val="center"/>
          </w:tcPr>
          <w:p w14:paraId="18F19B1A">
            <w:pPr>
              <w:jc w:val="center"/>
              <w:rPr>
                <w:rFonts w:ascii="仿宋_GB2312" w:hAnsi="仿宋_GB2312" w:eastAsia="仿宋_GB2312" w:cs="仿宋_GB2312"/>
                <w:kern w:val="0"/>
                <w:szCs w:val="21"/>
              </w:rPr>
            </w:pPr>
            <w:bookmarkStart w:id="2" w:name="_GoBack"/>
            <w:r>
              <w:rPr>
                <w:rFonts w:hint="eastAsia" w:ascii="仿宋_GB2312" w:hAnsi="仿宋_GB2312" w:eastAsia="仿宋_GB2312" w:cs="仿宋_GB2312"/>
                <w:kern w:val="0"/>
                <w:szCs w:val="21"/>
                <w:highlight w:val="none"/>
              </w:rPr>
              <w:t>谢丹</w:t>
            </w:r>
            <w:bookmarkEnd w:id="2"/>
          </w:p>
        </w:tc>
        <w:tc>
          <w:tcPr>
            <w:tcW w:w="425" w:type="dxa"/>
            <w:tcBorders>
              <w:top w:val="single" w:color="000000" w:sz="4" w:space="0"/>
              <w:left w:val="nil"/>
              <w:bottom w:val="single" w:color="000000" w:sz="4" w:space="0"/>
              <w:right w:val="single" w:color="000000" w:sz="4" w:space="0"/>
            </w:tcBorders>
            <w:vAlign w:val="center"/>
          </w:tcPr>
          <w:p w14:paraId="07E8174A">
            <w:pPr>
              <w:widowControl/>
              <w:jc w:val="center"/>
              <w:rPr>
                <w:rFonts w:ascii="仿宋_GB2312" w:eastAsia="仿宋_GB2312"/>
                <w:kern w:val="0"/>
                <w:szCs w:val="21"/>
              </w:rPr>
            </w:pPr>
            <w:r>
              <w:rPr>
                <w:rFonts w:hint="eastAsia" w:ascii="仿宋_GB2312" w:eastAsia="仿宋_GB2312"/>
                <w:kern w:val="0"/>
                <w:szCs w:val="21"/>
              </w:rPr>
              <w:t>女</w:t>
            </w:r>
          </w:p>
        </w:tc>
        <w:tc>
          <w:tcPr>
            <w:tcW w:w="1560" w:type="dxa"/>
            <w:tcBorders>
              <w:top w:val="single" w:color="000000" w:sz="4" w:space="0"/>
              <w:left w:val="nil"/>
              <w:bottom w:val="single" w:color="000000" w:sz="4" w:space="0"/>
              <w:right w:val="single" w:color="000000" w:sz="4" w:space="0"/>
            </w:tcBorders>
            <w:vAlign w:val="center"/>
          </w:tcPr>
          <w:p w14:paraId="795513A7">
            <w:pPr>
              <w:widowControl/>
              <w:jc w:val="center"/>
              <w:rPr>
                <w:rFonts w:ascii="仿宋_GB2312" w:eastAsia="仿宋_GB2312"/>
                <w:kern w:val="0"/>
                <w:szCs w:val="21"/>
              </w:rPr>
            </w:pPr>
            <w:r>
              <w:rPr>
                <w:rFonts w:hint="eastAsia" w:ascii="仿宋_GB2312" w:eastAsia="仿宋_GB2312"/>
                <w:kern w:val="0"/>
                <w:szCs w:val="21"/>
              </w:rPr>
              <w:t>农艺师</w:t>
            </w:r>
          </w:p>
        </w:tc>
        <w:tc>
          <w:tcPr>
            <w:tcW w:w="3827" w:type="dxa"/>
            <w:tcBorders>
              <w:top w:val="single" w:color="000000" w:sz="4" w:space="0"/>
              <w:left w:val="nil"/>
              <w:bottom w:val="single" w:color="000000" w:sz="4" w:space="0"/>
              <w:right w:val="single" w:color="000000" w:sz="4" w:space="0"/>
            </w:tcBorders>
            <w:vAlign w:val="center"/>
          </w:tcPr>
          <w:p w14:paraId="1C057CB7">
            <w:pPr>
              <w:widowControl/>
              <w:jc w:val="center"/>
              <w:rPr>
                <w:rFonts w:ascii="仿宋_GB2312" w:eastAsia="仿宋_GB2312"/>
                <w:kern w:val="0"/>
                <w:szCs w:val="21"/>
              </w:rPr>
            </w:pPr>
            <w:r>
              <w:rPr>
                <w:rFonts w:hint="eastAsia" w:ascii="仿宋_GB2312" w:eastAsia="仿宋_GB2312"/>
                <w:kern w:val="0"/>
                <w:szCs w:val="21"/>
              </w:rPr>
              <w:t>新乡县农业技术推广站</w:t>
            </w:r>
          </w:p>
        </w:tc>
        <w:tc>
          <w:tcPr>
            <w:tcW w:w="1559" w:type="dxa"/>
            <w:tcBorders>
              <w:top w:val="single" w:color="000000" w:sz="4" w:space="0"/>
              <w:left w:val="nil"/>
              <w:bottom w:val="single" w:color="000000" w:sz="4" w:space="0"/>
              <w:right w:val="single" w:color="000000" w:sz="4" w:space="0"/>
            </w:tcBorders>
            <w:vAlign w:val="center"/>
          </w:tcPr>
          <w:p w14:paraId="7BD7C0BB">
            <w:pPr>
              <w:widowControl/>
              <w:jc w:val="center"/>
              <w:rPr>
                <w:rFonts w:ascii="仿宋_GB2312" w:eastAsia="仿宋_GB2312"/>
                <w:kern w:val="0"/>
                <w:szCs w:val="21"/>
              </w:rPr>
            </w:pPr>
            <w:r>
              <w:rPr>
                <w:rFonts w:hint="eastAsia" w:ascii="仿宋_GB2312" w:eastAsia="仿宋_GB2312"/>
                <w:kern w:val="0"/>
                <w:szCs w:val="21"/>
              </w:rPr>
              <w:t>新乡县技术推广</w:t>
            </w:r>
          </w:p>
        </w:tc>
      </w:tr>
      <w:tr w14:paraId="45E0F28C">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5600C97F">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鲁晓民</w:t>
            </w:r>
          </w:p>
        </w:tc>
        <w:tc>
          <w:tcPr>
            <w:tcW w:w="425" w:type="dxa"/>
            <w:tcBorders>
              <w:top w:val="single" w:color="000000" w:sz="4" w:space="0"/>
              <w:left w:val="nil"/>
              <w:bottom w:val="single" w:color="000000" w:sz="4" w:space="0"/>
              <w:right w:val="single" w:color="000000" w:sz="4" w:space="0"/>
            </w:tcBorders>
            <w:vAlign w:val="center"/>
          </w:tcPr>
          <w:p w14:paraId="563926AB">
            <w:pPr>
              <w:widowControl/>
              <w:jc w:val="center"/>
              <w:rPr>
                <w:rFonts w:ascii="仿宋_GB2312" w:eastAsia="仿宋_GB2312"/>
                <w:kern w:val="0"/>
                <w:szCs w:val="21"/>
              </w:rPr>
            </w:pPr>
            <w:r>
              <w:rPr>
                <w:rFonts w:hint="eastAsia" w:ascii="仿宋_GB2312" w:eastAsia="仿宋_GB2312"/>
                <w:kern w:val="0"/>
                <w:szCs w:val="21"/>
              </w:rPr>
              <w:t>男</w:t>
            </w:r>
          </w:p>
        </w:tc>
        <w:tc>
          <w:tcPr>
            <w:tcW w:w="1560" w:type="dxa"/>
            <w:tcBorders>
              <w:top w:val="single" w:color="000000" w:sz="4" w:space="0"/>
              <w:left w:val="nil"/>
              <w:bottom w:val="single" w:color="000000" w:sz="4" w:space="0"/>
              <w:right w:val="single" w:color="000000" w:sz="4" w:space="0"/>
            </w:tcBorders>
            <w:vAlign w:val="center"/>
          </w:tcPr>
          <w:p w14:paraId="1B028640">
            <w:pPr>
              <w:widowControl/>
              <w:jc w:val="center"/>
              <w:rPr>
                <w:rFonts w:ascii="仿宋_GB2312" w:eastAsia="仿宋_GB2312"/>
                <w:kern w:val="0"/>
                <w:szCs w:val="21"/>
              </w:rPr>
            </w:pPr>
            <w:r>
              <w:rPr>
                <w:rFonts w:hint="eastAsia" w:ascii="仿宋_GB2312" w:eastAsia="仿宋_GB2312"/>
                <w:kern w:val="0"/>
                <w:szCs w:val="21"/>
              </w:rPr>
              <w:t>研究员</w:t>
            </w:r>
          </w:p>
        </w:tc>
        <w:tc>
          <w:tcPr>
            <w:tcW w:w="3827" w:type="dxa"/>
            <w:tcBorders>
              <w:top w:val="single" w:color="000000" w:sz="4" w:space="0"/>
              <w:left w:val="nil"/>
              <w:bottom w:val="single" w:color="000000" w:sz="4" w:space="0"/>
              <w:right w:val="single" w:color="000000" w:sz="4" w:space="0"/>
            </w:tcBorders>
            <w:vAlign w:val="center"/>
          </w:tcPr>
          <w:p w14:paraId="57A4C8E5">
            <w:pPr>
              <w:widowControl/>
              <w:jc w:val="center"/>
              <w:rPr>
                <w:rFonts w:ascii="仿宋_GB2312" w:eastAsia="仿宋_GB2312"/>
                <w:kern w:val="0"/>
                <w:szCs w:val="21"/>
              </w:rPr>
            </w:pPr>
            <w:r>
              <w:rPr>
                <w:rFonts w:hint="eastAsia" w:ascii="仿宋_GB2312" w:eastAsia="仿宋_GB2312"/>
                <w:kern w:val="0"/>
                <w:szCs w:val="21"/>
              </w:rPr>
              <w:t>河南省农业科学院</w:t>
            </w:r>
          </w:p>
        </w:tc>
        <w:tc>
          <w:tcPr>
            <w:tcW w:w="1559" w:type="dxa"/>
            <w:tcBorders>
              <w:top w:val="single" w:color="000000" w:sz="4" w:space="0"/>
              <w:left w:val="nil"/>
              <w:bottom w:val="single" w:color="000000" w:sz="4" w:space="0"/>
              <w:right w:val="single" w:color="000000" w:sz="4" w:space="0"/>
            </w:tcBorders>
            <w:vAlign w:val="center"/>
          </w:tcPr>
          <w:p w14:paraId="3B94D27A">
            <w:pPr>
              <w:widowControl/>
              <w:jc w:val="center"/>
              <w:rPr>
                <w:rFonts w:ascii="仿宋_GB2312" w:eastAsia="仿宋_GB2312"/>
                <w:kern w:val="0"/>
                <w:szCs w:val="21"/>
              </w:rPr>
            </w:pPr>
            <w:r>
              <w:rPr>
                <w:rFonts w:hint="eastAsia" w:ascii="仿宋_GB2312" w:eastAsia="仿宋_GB2312"/>
                <w:kern w:val="0"/>
                <w:szCs w:val="21"/>
              </w:rPr>
              <w:t>用肥推荐、试验实施</w:t>
            </w:r>
          </w:p>
        </w:tc>
      </w:tr>
      <w:tr w14:paraId="65A62470">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32466D20">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王家琪</w:t>
            </w:r>
          </w:p>
        </w:tc>
        <w:tc>
          <w:tcPr>
            <w:tcW w:w="425" w:type="dxa"/>
            <w:tcBorders>
              <w:top w:val="single" w:color="000000" w:sz="4" w:space="0"/>
              <w:left w:val="nil"/>
              <w:bottom w:val="single" w:color="000000" w:sz="4" w:space="0"/>
              <w:right w:val="single" w:color="000000" w:sz="4" w:space="0"/>
            </w:tcBorders>
            <w:vAlign w:val="center"/>
          </w:tcPr>
          <w:p w14:paraId="4FEC79C2">
            <w:pPr>
              <w:widowControl/>
              <w:jc w:val="center"/>
              <w:rPr>
                <w:rFonts w:ascii="仿宋_GB2312" w:eastAsia="仿宋_GB2312"/>
                <w:kern w:val="0"/>
                <w:szCs w:val="21"/>
              </w:rPr>
            </w:pPr>
            <w:r>
              <w:rPr>
                <w:rFonts w:hint="eastAsia" w:ascii="仿宋_GB2312" w:eastAsia="仿宋_GB2312"/>
                <w:kern w:val="0"/>
                <w:szCs w:val="21"/>
              </w:rPr>
              <w:t>男</w:t>
            </w:r>
          </w:p>
        </w:tc>
        <w:tc>
          <w:tcPr>
            <w:tcW w:w="1560" w:type="dxa"/>
            <w:tcBorders>
              <w:top w:val="single" w:color="000000" w:sz="4" w:space="0"/>
              <w:left w:val="nil"/>
              <w:bottom w:val="single" w:color="000000" w:sz="4" w:space="0"/>
              <w:right w:val="single" w:color="000000" w:sz="4" w:space="0"/>
            </w:tcBorders>
            <w:vAlign w:val="center"/>
          </w:tcPr>
          <w:p w14:paraId="1262BCCC">
            <w:pPr>
              <w:widowControl/>
              <w:jc w:val="center"/>
              <w:rPr>
                <w:rFonts w:ascii="仿宋_GB2312" w:eastAsia="仿宋_GB2312"/>
                <w:kern w:val="0"/>
                <w:szCs w:val="21"/>
              </w:rPr>
            </w:pPr>
            <w:r>
              <w:rPr>
                <w:rFonts w:hint="eastAsia" w:ascii="仿宋_GB2312" w:eastAsia="仿宋_GB2312"/>
                <w:kern w:val="0"/>
                <w:szCs w:val="21"/>
              </w:rPr>
              <w:t>助理农艺师</w:t>
            </w:r>
          </w:p>
        </w:tc>
        <w:tc>
          <w:tcPr>
            <w:tcW w:w="3827" w:type="dxa"/>
            <w:tcBorders>
              <w:top w:val="single" w:color="000000" w:sz="4" w:space="0"/>
              <w:left w:val="nil"/>
              <w:bottom w:val="single" w:color="000000" w:sz="4" w:space="0"/>
              <w:right w:val="single" w:color="000000" w:sz="4" w:space="0"/>
            </w:tcBorders>
            <w:vAlign w:val="center"/>
          </w:tcPr>
          <w:p w14:paraId="396C1D8C">
            <w:pPr>
              <w:widowControl/>
              <w:jc w:val="center"/>
              <w:rPr>
                <w:rFonts w:ascii="仿宋_GB2312" w:eastAsia="仿宋_GB2312"/>
                <w:kern w:val="0"/>
                <w:szCs w:val="21"/>
              </w:rPr>
            </w:pPr>
            <w:r>
              <w:rPr>
                <w:rFonts w:hint="eastAsia" w:ascii="仿宋_GB2312" w:eastAsia="仿宋_GB2312"/>
                <w:kern w:val="0"/>
                <w:szCs w:val="21"/>
              </w:rPr>
              <w:t>河南心连心化学工业集团股份有限公司</w:t>
            </w:r>
          </w:p>
        </w:tc>
        <w:tc>
          <w:tcPr>
            <w:tcW w:w="1559" w:type="dxa"/>
            <w:tcBorders>
              <w:top w:val="single" w:color="000000" w:sz="4" w:space="0"/>
              <w:left w:val="nil"/>
              <w:bottom w:val="single" w:color="000000" w:sz="4" w:space="0"/>
              <w:right w:val="single" w:color="000000" w:sz="4" w:space="0"/>
            </w:tcBorders>
            <w:vAlign w:val="center"/>
          </w:tcPr>
          <w:p w14:paraId="38C70C4C">
            <w:pPr>
              <w:widowControl/>
              <w:jc w:val="center"/>
              <w:rPr>
                <w:rFonts w:ascii="仿宋_GB2312" w:eastAsia="仿宋_GB2312"/>
                <w:kern w:val="0"/>
                <w:szCs w:val="21"/>
              </w:rPr>
            </w:pPr>
            <w:r>
              <w:rPr>
                <w:rFonts w:hint="eastAsia" w:ascii="仿宋_GB2312" w:eastAsia="仿宋_GB2312"/>
                <w:kern w:val="0"/>
                <w:szCs w:val="21"/>
              </w:rPr>
              <w:t>试验实施、水肥管理</w:t>
            </w:r>
          </w:p>
        </w:tc>
      </w:tr>
      <w:tr w14:paraId="558191A7">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0963AD1C">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朱仁胜</w:t>
            </w:r>
          </w:p>
        </w:tc>
        <w:tc>
          <w:tcPr>
            <w:tcW w:w="425" w:type="dxa"/>
            <w:tcBorders>
              <w:top w:val="single" w:color="000000" w:sz="4" w:space="0"/>
              <w:left w:val="nil"/>
              <w:bottom w:val="single" w:color="000000" w:sz="4" w:space="0"/>
              <w:right w:val="single" w:color="000000" w:sz="4" w:space="0"/>
            </w:tcBorders>
            <w:vAlign w:val="center"/>
          </w:tcPr>
          <w:p w14:paraId="690A1DA8">
            <w:pPr>
              <w:widowControl/>
              <w:jc w:val="center"/>
              <w:rPr>
                <w:rFonts w:ascii="仿宋_GB2312" w:eastAsia="仿宋_GB2312"/>
                <w:kern w:val="0"/>
                <w:szCs w:val="21"/>
              </w:rPr>
            </w:pPr>
            <w:r>
              <w:rPr>
                <w:rFonts w:hint="eastAsia" w:ascii="仿宋_GB2312" w:eastAsia="仿宋_GB2312"/>
                <w:kern w:val="0"/>
                <w:szCs w:val="21"/>
              </w:rPr>
              <w:t>男</w:t>
            </w:r>
          </w:p>
        </w:tc>
        <w:tc>
          <w:tcPr>
            <w:tcW w:w="1560" w:type="dxa"/>
            <w:tcBorders>
              <w:top w:val="single" w:color="000000" w:sz="4" w:space="0"/>
              <w:left w:val="nil"/>
              <w:bottom w:val="single" w:color="000000" w:sz="4" w:space="0"/>
              <w:right w:val="single" w:color="000000" w:sz="4" w:space="0"/>
            </w:tcBorders>
            <w:vAlign w:val="center"/>
          </w:tcPr>
          <w:p w14:paraId="0E6A6293">
            <w:pPr>
              <w:widowControl/>
              <w:jc w:val="center"/>
              <w:rPr>
                <w:rFonts w:ascii="仿宋_GB2312" w:eastAsia="仿宋_GB2312"/>
                <w:kern w:val="0"/>
                <w:szCs w:val="21"/>
              </w:rPr>
            </w:pPr>
            <w:r>
              <w:rPr>
                <w:rFonts w:hint="eastAsia" w:ascii="仿宋_GB2312" w:eastAsia="仿宋_GB2312"/>
                <w:kern w:val="0"/>
                <w:szCs w:val="21"/>
              </w:rPr>
              <w:t>农艺师</w:t>
            </w:r>
          </w:p>
        </w:tc>
        <w:tc>
          <w:tcPr>
            <w:tcW w:w="3827" w:type="dxa"/>
            <w:tcBorders>
              <w:top w:val="single" w:color="000000" w:sz="4" w:space="0"/>
              <w:left w:val="nil"/>
              <w:bottom w:val="single" w:color="000000" w:sz="4" w:space="0"/>
              <w:right w:val="single" w:color="000000" w:sz="4" w:space="0"/>
            </w:tcBorders>
            <w:vAlign w:val="center"/>
          </w:tcPr>
          <w:p w14:paraId="7A3E2855">
            <w:pPr>
              <w:widowControl/>
              <w:jc w:val="center"/>
              <w:rPr>
                <w:rFonts w:ascii="仿宋_GB2312" w:eastAsia="仿宋_GB2312"/>
                <w:kern w:val="0"/>
                <w:szCs w:val="21"/>
              </w:rPr>
            </w:pPr>
            <w:r>
              <w:rPr>
                <w:rFonts w:hint="eastAsia" w:ascii="仿宋_GB2312" w:eastAsia="仿宋_GB2312"/>
                <w:kern w:val="0"/>
                <w:szCs w:val="21"/>
              </w:rPr>
              <w:t>河南心连心化学工业集团股份有限公司</w:t>
            </w:r>
          </w:p>
        </w:tc>
        <w:tc>
          <w:tcPr>
            <w:tcW w:w="1559" w:type="dxa"/>
            <w:tcBorders>
              <w:top w:val="single" w:color="000000" w:sz="4" w:space="0"/>
              <w:left w:val="nil"/>
              <w:bottom w:val="single" w:color="000000" w:sz="4" w:space="0"/>
              <w:right w:val="single" w:color="000000" w:sz="4" w:space="0"/>
            </w:tcBorders>
            <w:vAlign w:val="center"/>
          </w:tcPr>
          <w:p w14:paraId="3EF2ACF2">
            <w:pPr>
              <w:widowControl/>
              <w:jc w:val="center"/>
              <w:rPr>
                <w:rFonts w:ascii="仿宋_GB2312" w:eastAsia="仿宋_GB2312"/>
                <w:kern w:val="0"/>
                <w:szCs w:val="21"/>
              </w:rPr>
            </w:pPr>
            <w:r>
              <w:rPr>
                <w:rFonts w:hint="eastAsia" w:ascii="仿宋_GB2312" w:eastAsia="仿宋_GB2312"/>
                <w:kern w:val="0"/>
                <w:szCs w:val="21"/>
              </w:rPr>
              <w:t>试验实施</w:t>
            </w:r>
          </w:p>
        </w:tc>
      </w:tr>
      <w:tr w14:paraId="2FC7832B">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30EB2A76">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梅沛沛</w:t>
            </w:r>
          </w:p>
        </w:tc>
        <w:tc>
          <w:tcPr>
            <w:tcW w:w="425" w:type="dxa"/>
            <w:tcBorders>
              <w:top w:val="single" w:color="000000" w:sz="4" w:space="0"/>
              <w:left w:val="nil"/>
              <w:bottom w:val="single" w:color="000000" w:sz="4" w:space="0"/>
              <w:right w:val="single" w:color="000000" w:sz="4" w:space="0"/>
            </w:tcBorders>
            <w:vAlign w:val="center"/>
          </w:tcPr>
          <w:p w14:paraId="364F4C04">
            <w:pPr>
              <w:widowControl/>
              <w:jc w:val="center"/>
              <w:rPr>
                <w:rFonts w:ascii="仿宋_GB2312" w:eastAsia="仿宋_GB2312"/>
                <w:kern w:val="0"/>
                <w:szCs w:val="21"/>
              </w:rPr>
            </w:pPr>
            <w:r>
              <w:rPr>
                <w:rFonts w:hint="eastAsia" w:ascii="仿宋_GB2312" w:eastAsia="仿宋_GB2312"/>
                <w:kern w:val="0"/>
                <w:szCs w:val="21"/>
              </w:rPr>
              <w:t>女</w:t>
            </w:r>
          </w:p>
        </w:tc>
        <w:tc>
          <w:tcPr>
            <w:tcW w:w="1560" w:type="dxa"/>
            <w:tcBorders>
              <w:top w:val="single" w:color="000000" w:sz="4" w:space="0"/>
              <w:left w:val="nil"/>
              <w:bottom w:val="single" w:color="000000" w:sz="4" w:space="0"/>
              <w:right w:val="single" w:color="000000" w:sz="4" w:space="0"/>
            </w:tcBorders>
            <w:vAlign w:val="center"/>
          </w:tcPr>
          <w:p w14:paraId="14B1B80E">
            <w:pPr>
              <w:widowControl/>
              <w:jc w:val="center"/>
              <w:rPr>
                <w:rFonts w:ascii="仿宋_GB2312" w:eastAsia="仿宋_GB2312"/>
                <w:kern w:val="0"/>
                <w:szCs w:val="21"/>
              </w:rPr>
            </w:pPr>
            <w:r>
              <w:rPr>
                <w:rFonts w:hint="eastAsia" w:ascii="仿宋_GB2312" w:eastAsia="仿宋_GB2312"/>
                <w:kern w:val="0"/>
                <w:szCs w:val="21"/>
              </w:rPr>
              <w:t>高校讲师</w:t>
            </w:r>
          </w:p>
        </w:tc>
        <w:tc>
          <w:tcPr>
            <w:tcW w:w="3827" w:type="dxa"/>
            <w:tcBorders>
              <w:top w:val="single" w:color="000000" w:sz="4" w:space="0"/>
              <w:left w:val="nil"/>
              <w:bottom w:val="single" w:color="000000" w:sz="4" w:space="0"/>
              <w:right w:val="single" w:color="000000" w:sz="4" w:space="0"/>
            </w:tcBorders>
            <w:vAlign w:val="center"/>
          </w:tcPr>
          <w:p w14:paraId="1829CA3E">
            <w:pPr>
              <w:widowControl/>
              <w:jc w:val="center"/>
              <w:rPr>
                <w:rFonts w:ascii="仿宋_GB2312" w:eastAsia="仿宋_GB2312"/>
                <w:kern w:val="0"/>
                <w:szCs w:val="21"/>
              </w:rPr>
            </w:pPr>
            <w:r>
              <w:rPr>
                <w:rFonts w:hint="eastAsia" w:ascii="仿宋_GB2312" w:eastAsia="仿宋_GB2312"/>
                <w:kern w:val="0"/>
                <w:szCs w:val="21"/>
              </w:rPr>
              <w:t>河南科技学院</w:t>
            </w:r>
          </w:p>
        </w:tc>
        <w:tc>
          <w:tcPr>
            <w:tcW w:w="1559" w:type="dxa"/>
            <w:tcBorders>
              <w:top w:val="single" w:color="000000" w:sz="4" w:space="0"/>
              <w:left w:val="nil"/>
              <w:bottom w:val="single" w:color="000000" w:sz="4" w:space="0"/>
              <w:right w:val="single" w:color="000000" w:sz="4" w:space="0"/>
            </w:tcBorders>
            <w:vAlign w:val="center"/>
          </w:tcPr>
          <w:p w14:paraId="7AF6C60A">
            <w:pPr>
              <w:widowControl/>
              <w:jc w:val="center"/>
              <w:rPr>
                <w:rFonts w:ascii="仿宋_GB2312" w:eastAsia="仿宋_GB2312"/>
                <w:kern w:val="0"/>
                <w:szCs w:val="21"/>
              </w:rPr>
            </w:pPr>
            <w:r>
              <w:rPr>
                <w:rFonts w:hint="eastAsia" w:ascii="仿宋_GB2312" w:eastAsia="仿宋_GB2312"/>
                <w:kern w:val="0"/>
                <w:szCs w:val="21"/>
              </w:rPr>
              <w:t>试验实施</w:t>
            </w:r>
          </w:p>
        </w:tc>
      </w:tr>
      <w:tr w14:paraId="40FB92E7">
        <w:tblPrEx>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vAlign w:val="center"/>
          </w:tcPr>
          <w:p w14:paraId="1BD4288C">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何建国</w:t>
            </w:r>
          </w:p>
        </w:tc>
        <w:tc>
          <w:tcPr>
            <w:tcW w:w="425" w:type="dxa"/>
            <w:tcBorders>
              <w:top w:val="single" w:color="000000" w:sz="4" w:space="0"/>
              <w:left w:val="nil"/>
              <w:bottom w:val="single" w:color="000000" w:sz="4" w:space="0"/>
              <w:right w:val="single" w:color="000000" w:sz="4" w:space="0"/>
            </w:tcBorders>
            <w:vAlign w:val="center"/>
          </w:tcPr>
          <w:p w14:paraId="21A4D239">
            <w:pPr>
              <w:widowControl/>
              <w:jc w:val="center"/>
              <w:rPr>
                <w:rFonts w:ascii="仿宋_GB2312" w:eastAsia="仿宋_GB2312"/>
                <w:kern w:val="0"/>
                <w:szCs w:val="21"/>
              </w:rPr>
            </w:pPr>
            <w:r>
              <w:rPr>
                <w:rFonts w:hint="eastAsia" w:ascii="仿宋_GB2312" w:eastAsia="仿宋_GB2312"/>
                <w:kern w:val="0"/>
                <w:szCs w:val="21"/>
              </w:rPr>
              <w:t>男</w:t>
            </w:r>
          </w:p>
        </w:tc>
        <w:tc>
          <w:tcPr>
            <w:tcW w:w="1560" w:type="dxa"/>
            <w:tcBorders>
              <w:top w:val="single" w:color="000000" w:sz="4" w:space="0"/>
              <w:left w:val="nil"/>
              <w:bottom w:val="single" w:color="000000" w:sz="4" w:space="0"/>
              <w:right w:val="single" w:color="000000" w:sz="4" w:space="0"/>
            </w:tcBorders>
            <w:vAlign w:val="center"/>
          </w:tcPr>
          <w:p w14:paraId="6F1B0F4E">
            <w:pPr>
              <w:widowControl/>
              <w:jc w:val="center"/>
              <w:rPr>
                <w:rFonts w:ascii="仿宋_GB2312" w:eastAsia="仿宋_GB2312"/>
                <w:kern w:val="0"/>
                <w:szCs w:val="21"/>
              </w:rPr>
            </w:pPr>
            <w:r>
              <w:rPr>
                <w:rFonts w:hint="eastAsia" w:ascii="仿宋_GB2312" w:eastAsia="仿宋_GB2312"/>
                <w:kern w:val="0"/>
                <w:szCs w:val="21"/>
              </w:rPr>
              <w:t>总经理</w:t>
            </w:r>
          </w:p>
        </w:tc>
        <w:tc>
          <w:tcPr>
            <w:tcW w:w="3827" w:type="dxa"/>
            <w:tcBorders>
              <w:top w:val="single" w:color="000000" w:sz="4" w:space="0"/>
              <w:left w:val="nil"/>
              <w:bottom w:val="single" w:color="000000" w:sz="4" w:space="0"/>
              <w:right w:val="single" w:color="000000" w:sz="4" w:space="0"/>
            </w:tcBorders>
            <w:vAlign w:val="center"/>
          </w:tcPr>
          <w:p w14:paraId="68FB5DA2">
            <w:pPr>
              <w:widowControl/>
              <w:jc w:val="center"/>
              <w:rPr>
                <w:rFonts w:ascii="仿宋_GB2312" w:eastAsia="仿宋_GB2312"/>
                <w:kern w:val="0"/>
                <w:szCs w:val="21"/>
              </w:rPr>
            </w:pPr>
            <w:r>
              <w:rPr>
                <w:rFonts w:hint="eastAsia" w:ascii="仿宋_GB2312" w:eastAsia="仿宋_GB2312"/>
                <w:kern w:val="0"/>
                <w:szCs w:val="21"/>
              </w:rPr>
              <w:t>河南金海种业有限公司</w:t>
            </w:r>
          </w:p>
        </w:tc>
        <w:tc>
          <w:tcPr>
            <w:tcW w:w="1559" w:type="dxa"/>
            <w:tcBorders>
              <w:top w:val="single" w:color="000000" w:sz="4" w:space="0"/>
              <w:left w:val="nil"/>
              <w:bottom w:val="single" w:color="000000" w:sz="4" w:space="0"/>
              <w:right w:val="single" w:color="000000" w:sz="4" w:space="0"/>
            </w:tcBorders>
            <w:vAlign w:val="center"/>
          </w:tcPr>
          <w:p w14:paraId="336148D6">
            <w:pPr>
              <w:widowControl/>
              <w:jc w:val="center"/>
              <w:rPr>
                <w:rFonts w:ascii="仿宋_GB2312" w:eastAsia="仿宋_GB2312"/>
                <w:kern w:val="0"/>
                <w:szCs w:val="21"/>
              </w:rPr>
            </w:pPr>
            <w:r>
              <w:rPr>
                <w:rFonts w:hint="eastAsia" w:ascii="仿宋_GB2312" w:eastAsia="仿宋_GB2312"/>
                <w:kern w:val="0"/>
                <w:szCs w:val="21"/>
              </w:rPr>
              <w:t>提供种质资源、试验实施</w:t>
            </w:r>
          </w:p>
        </w:tc>
      </w:tr>
    </w:tbl>
    <w:p w14:paraId="3265F528">
      <w:pPr>
        <w:snapToGrid w:val="0"/>
        <w:spacing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3.起草过程：2023年，心连心化学工业集团股份有限公司在新乡地区开展玉米适密水肥一体化试验，后续与河南省农业科学院、新乡市种业发展服务中心、新乡县农业技术推广站、河南科技学院、河南金海种业有限公司合作，在新乡市新乡县地区开展种植模式研究。期间联合新乡县农业技术推广站进行试验示范及技术推广。于2024年申请立项；2024年10月市场监督管理局下达修订任务，正式起草本文件；2024年12月征求专家及种植合作社意见进行文件修改；2025年4月市场监督管理局进行标准撰写培训后修改文件模版。</w:t>
      </w:r>
    </w:p>
    <w:p w14:paraId="1CFB1995">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4.标准征求意见及修改情况：经市场监督管理局批准立项后，征求了杨胜利、文祥朋、马海平、刘清瑞、王菲等几位专家的意见，收到五份意见反馈表，整理了修改建议。我们采纳了各位专家的建议，对玉米品种、玉米密度管理及水肥管理、施肥时间、病虫害管理等条款进行修改。</w:t>
      </w:r>
    </w:p>
    <w:p w14:paraId="361571FD">
      <w:pPr>
        <w:snapToGrid w:val="0"/>
        <w:spacing w:line="360" w:lineRule="auto"/>
        <w:ind w:firstLine="627" w:firstLineChars="196"/>
        <w:rPr>
          <w:rFonts w:ascii="仿宋_GB2312" w:eastAsia="仿宋_GB2312"/>
          <w:kern w:val="0"/>
          <w:sz w:val="28"/>
          <w:szCs w:val="28"/>
        </w:rPr>
      </w:pPr>
      <w:r>
        <w:rPr>
          <w:rFonts w:hint="eastAsia" w:ascii="黑体" w:hAnsi="黑体" w:eastAsia="黑体"/>
          <w:kern w:val="0"/>
          <w:sz w:val="32"/>
          <w:szCs w:val="32"/>
        </w:rPr>
        <w:t>四、主要内容的确定</w:t>
      </w:r>
    </w:p>
    <w:p w14:paraId="15424080">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本文件包含范围、规范性引用文件、术语及定义、环境地块要求、播前准备、播种及田间管理、水肥一体化系统、施肥与灌溉等条款。</w:t>
      </w:r>
    </w:p>
    <w:p w14:paraId="1481EEB6">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第一节，规定了本标准的适用范围。</w:t>
      </w:r>
    </w:p>
    <w:p w14:paraId="0B843152">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第二节，说明的使用于本标准的规范性引用文件。</w:t>
      </w:r>
    </w:p>
    <w:p w14:paraId="43E70D06">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第三节，规定了宽窄行增密种植增产、水肥一体化技术、水肥一体化系统、玉米滴灌带播种机、机械收粒的术语及定义</w:t>
      </w:r>
    </w:p>
    <w:p w14:paraId="4B0FF795">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第四节，规定了地块环境要求。</w:t>
      </w:r>
    </w:p>
    <w:p w14:paraId="0254E85A">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第五节，规定了玉米种植技术中播前准备中的品种选择、灭茬、机械调整、种植处理及播种的土壤墒情、播种时期、种植模式、种植密度、播种方式的要求。</w:t>
      </w:r>
    </w:p>
    <w:p w14:paraId="4FE3BB7F">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第六节，规定了玉米播后田间管理中的化学除草、化控、病虫害防治的要求。</w:t>
      </w:r>
    </w:p>
    <w:p w14:paraId="0E7E16FE">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 xml:space="preserve">第七节，规定了玉米收获的要求。 </w:t>
      </w:r>
    </w:p>
    <w:p w14:paraId="7DC466D9">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第八节，规定了水肥一体化系统中水肥一体化组成系统、灌溉系统组成与设计的要求。</w:t>
      </w:r>
    </w:p>
    <w:p w14:paraId="371C7B86">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第九节，对肥料使用与灌溉做出范围推荐。</w:t>
      </w:r>
    </w:p>
    <w:p w14:paraId="39E0FEA7">
      <w:pPr>
        <w:snapToGrid w:val="0"/>
        <w:spacing w:line="360" w:lineRule="auto"/>
        <w:ind w:firstLine="425" w:firstLineChars="133"/>
        <w:rPr>
          <w:rFonts w:ascii="仿宋_GB2312" w:eastAsia="仿宋_GB2312"/>
          <w:kern w:val="0"/>
          <w:sz w:val="32"/>
          <w:szCs w:val="32"/>
        </w:rPr>
      </w:pPr>
      <w:r>
        <w:rPr>
          <w:rFonts w:hint="eastAsia" w:ascii="楷体" w:hAnsi="楷体" w:eastAsia="楷体"/>
          <w:sz w:val="32"/>
          <w:szCs w:val="32"/>
        </w:rPr>
        <w:t>（一）主要试验的分析、综述报告</w:t>
      </w:r>
      <w:r>
        <w:rPr>
          <w:rFonts w:hint="eastAsia" w:ascii="仿宋_GB2312" w:eastAsia="仿宋_GB2312"/>
          <w:kern w:val="0"/>
          <w:sz w:val="28"/>
          <w:szCs w:val="28"/>
        </w:rPr>
        <w:t>：</w:t>
      </w:r>
    </w:p>
    <w:p w14:paraId="5203E323">
      <w:pPr>
        <w:spacing w:line="360" w:lineRule="auto"/>
        <w:ind w:firstLine="640" w:firstLineChars="200"/>
        <w:jc w:val="left"/>
        <w:rPr>
          <w:rFonts w:ascii="仿宋_GB2312" w:eastAsia="仿宋_GB2312"/>
          <w:kern w:val="0"/>
          <w:sz w:val="32"/>
          <w:szCs w:val="32"/>
        </w:rPr>
      </w:pPr>
      <w:r>
        <w:rPr>
          <w:rFonts w:hint="eastAsia" w:ascii="仿宋_GB2312" w:eastAsia="仿宋_GB2312"/>
          <w:kern w:val="0"/>
          <w:sz w:val="32"/>
          <w:szCs w:val="32"/>
        </w:rPr>
        <w:t>在新乡市玉米种植地区进行了试验示范。相较于传统套种模式，本技术处理在玉米完熟期显著增加了穗、行粒数，有显著增产优势。</w:t>
      </w:r>
    </w:p>
    <w:p w14:paraId="50874EBF">
      <w:pPr>
        <w:ind w:firstLine="2560"/>
        <w:rPr>
          <w:rFonts w:ascii="Times New Roman" w:hAnsi="Times New Roman" w:eastAsia="楷体" w:cs="Times New Roman"/>
          <w:sz w:val="28"/>
          <w:szCs w:val="28"/>
        </w:rPr>
      </w:pPr>
      <w:r>
        <w:rPr>
          <w:rFonts w:hint="eastAsia" w:ascii="Times New Roman" w:hAnsi="Times New Roman" w:eastAsia="楷体" w:cs="Times New Roman"/>
          <w:sz w:val="28"/>
          <w:szCs w:val="28"/>
        </w:rPr>
        <w:t>玉米适密水肥一体化完熟期指标</w:t>
      </w:r>
    </w:p>
    <w:tbl>
      <w:tblPr>
        <w:tblStyle w:val="5"/>
        <w:tblW w:w="5299" w:type="pct"/>
        <w:tblInd w:w="0" w:type="dxa"/>
        <w:tblLayout w:type="fixed"/>
        <w:tblCellMar>
          <w:top w:w="0" w:type="dxa"/>
          <w:left w:w="108" w:type="dxa"/>
          <w:bottom w:w="0" w:type="dxa"/>
          <w:right w:w="108" w:type="dxa"/>
        </w:tblCellMar>
      </w:tblPr>
      <w:tblGrid>
        <w:gridCol w:w="1667"/>
        <w:gridCol w:w="909"/>
        <w:gridCol w:w="710"/>
        <w:gridCol w:w="885"/>
        <w:gridCol w:w="885"/>
        <w:gridCol w:w="885"/>
        <w:gridCol w:w="885"/>
        <w:gridCol w:w="1104"/>
        <w:gridCol w:w="1102"/>
      </w:tblGrid>
      <w:tr w14:paraId="4010EAFE">
        <w:tblPrEx>
          <w:tblCellMar>
            <w:top w:w="0" w:type="dxa"/>
            <w:left w:w="108" w:type="dxa"/>
            <w:bottom w:w="0" w:type="dxa"/>
            <w:right w:w="108" w:type="dxa"/>
          </w:tblCellMar>
        </w:tblPrEx>
        <w:trPr>
          <w:trHeight w:val="313" w:hRule="atLeast"/>
        </w:trPr>
        <w:tc>
          <w:tcPr>
            <w:tcW w:w="923" w:type="pct"/>
            <w:tcBorders>
              <w:top w:val="single" w:color="auto" w:sz="8" w:space="0"/>
              <w:left w:val="nil"/>
              <w:bottom w:val="single" w:color="auto" w:sz="8" w:space="0"/>
              <w:right w:val="nil"/>
            </w:tcBorders>
            <w:shd w:val="clear" w:color="auto" w:fill="auto"/>
            <w:noWrap/>
            <w:vAlign w:val="center"/>
          </w:tcPr>
          <w:p w14:paraId="46F965E0">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处理</w:t>
            </w:r>
          </w:p>
        </w:tc>
        <w:tc>
          <w:tcPr>
            <w:tcW w:w="503" w:type="pct"/>
            <w:tcBorders>
              <w:top w:val="single" w:color="auto" w:sz="8" w:space="0"/>
              <w:left w:val="nil"/>
              <w:bottom w:val="single" w:color="auto" w:sz="8" w:space="0"/>
              <w:right w:val="nil"/>
            </w:tcBorders>
            <w:shd w:val="clear" w:color="auto" w:fill="auto"/>
            <w:noWrap/>
            <w:vAlign w:val="center"/>
          </w:tcPr>
          <w:p w14:paraId="295AB160">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穗长</w:t>
            </w:r>
          </w:p>
        </w:tc>
        <w:tc>
          <w:tcPr>
            <w:tcW w:w="393" w:type="pct"/>
            <w:tcBorders>
              <w:top w:val="single" w:color="auto" w:sz="8" w:space="0"/>
              <w:left w:val="nil"/>
              <w:bottom w:val="single" w:color="auto" w:sz="8" w:space="0"/>
              <w:right w:val="nil"/>
            </w:tcBorders>
            <w:shd w:val="clear" w:color="auto" w:fill="auto"/>
            <w:noWrap/>
            <w:vAlign w:val="center"/>
          </w:tcPr>
          <w:p w14:paraId="4226E15C">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穗粗</w:t>
            </w:r>
          </w:p>
        </w:tc>
        <w:tc>
          <w:tcPr>
            <w:tcW w:w="490" w:type="pct"/>
            <w:tcBorders>
              <w:top w:val="single" w:color="auto" w:sz="8" w:space="0"/>
              <w:left w:val="nil"/>
              <w:bottom w:val="single" w:color="auto" w:sz="8" w:space="0"/>
              <w:right w:val="nil"/>
            </w:tcBorders>
            <w:shd w:val="clear" w:color="auto" w:fill="auto"/>
            <w:noWrap/>
            <w:vAlign w:val="center"/>
          </w:tcPr>
          <w:p w14:paraId="5D9E214C">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秃尖长</w:t>
            </w:r>
          </w:p>
        </w:tc>
        <w:tc>
          <w:tcPr>
            <w:tcW w:w="490" w:type="pct"/>
            <w:tcBorders>
              <w:top w:val="single" w:color="auto" w:sz="8" w:space="0"/>
              <w:left w:val="nil"/>
              <w:bottom w:val="single" w:color="auto" w:sz="8" w:space="0"/>
              <w:right w:val="nil"/>
            </w:tcBorders>
            <w:shd w:val="clear" w:color="auto" w:fill="auto"/>
            <w:noWrap/>
            <w:vAlign w:val="center"/>
          </w:tcPr>
          <w:p w14:paraId="0D2358E6">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穗行数</w:t>
            </w:r>
          </w:p>
        </w:tc>
        <w:tc>
          <w:tcPr>
            <w:tcW w:w="490" w:type="pct"/>
            <w:tcBorders>
              <w:top w:val="single" w:color="auto" w:sz="8" w:space="0"/>
              <w:left w:val="nil"/>
              <w:bottom w:val="single" w:color="auto" w:sz="8" w:space="0"/>
              <w:right w:val="nil"/>
            </w:tcBorders>
            <w:shd w:val="clear" w:color="auto" w:fill="auto"/>
            <w:noWrap/>
            <w:vAlign w:val="center"/>
          </w:tcPr>
          <w:p w14:paraId="70DB12BD">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行粒数</w:t>
            </w:r>
          </w:p>
        </w:tc>
        <w:tc>
          <w:tcPr>
            <w:tcW w:w="490" w:type="pct"/>
            <w:tcBorders>
              <w:top w:val="single" w:color="auto" w:sz="8" w:space="0"/>
              <w:left w:val="nil"/>
              <w:bottom w:val="single" w:color="auto" w:sz="8" w:space="0"/>
              <w:right w:val="nil"/>
            </w:tcBorders>
            <w:shd w:val="clear" w:color="auto" w:fill="auto"/>
            <w:noWrap/>
            <w:vAlign w:val="center"/>
          </w:tcPr>
          <w:p w14:paraId="79140189">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百粒重</w:t>
            </w:r>
          </w:p>
        </w:tc>
        <w:tc>
          <w:tcPr>
            <w:tcW w:w="611" w:type="pct"/>
            <w:tcBorders>
              <w:top w:val="single" w:color="auto" w:sz="8" w:space="0"/>
              <w:left w:val="nil"/>
              <w:bottom w:val="single" w:color="auto" w:sz="8" w:space="0"/>
              <w:right w:val="nil"/>
            </w:tcBorders>
            <w:shd w:val="clear" w:color="auto" w:fill="auto"/>
            <w:noWrap/>
            <w:vAlign w:val="center"/>
          </w:tcPr>
          <w:p w14:paraId="4B38F74F">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理论产量</w:t>
            </w:r>
          </w:p>
        </w:tc>
        <w:tc>
          <w:tcPr>
            <w:tcW w:w="610" w:type="pct"/>
            <w:tcBorders>
              <w:top w:val="single" w:color="auto" w:sz="8" w:space="0"/>
              <w:left w:val="nil"/>
              <w:bottom w:val="single" w:color="auto" w:sz="8" w:space="0"/>
              <w:right w:val="nil"/>
            </w:tcBorders>
            <w:shd w:val="clear" w:color="auto" w:fill="auto"/>
            <w:noWrap/>
            <w:vAlign w:val="center"/>
          </w:tcPr>
          <w:p w14:paraId="30D200BA">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实际产量</w:t>
            </w:r>
          </w:p>
        </w:tc>
      </w:tr>
      <w:tr w14:paraId="0DF56734">
        <w:tblPrEx>
          <w:tblCellMar>
            <w:top w:w="0" w:type="dxa"/>
            <w:left w:w="108" w:type="dxa"/>
            <w:bottom w:w="0" w:type="dxa"/>
            <w:right w:w="108" w:type="dxa"/>
          </w:tblCellMar>
        </w:tblPrEx>
        <w:trPr>
          <w:trHeight w:val="767" w:hRule="atLeast"/>
        </w:trPr>
        <w:tc>
          <w:tcPr>
            <w:tcW w:w="923" w:type="pct"/>
            <w:tcBorders>
              <w:top w:val="nil"/>
              <w:left w:val="nil"/>
              <w:bottom w:val="nil"/>
              <w:right w:val="nil"/>
            </w:tcBorders>
            <w:shd w:val="clear" w:color="auto" w:fill="auto"/>
            <w:noWrap/>
            <w:vAlign w:val="center"/>
          </w:tcPr>
          <w:p w14:paraId="3FEED446">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CK</w:t>
            </w:r>
            <w:r>
              <w:rPr>
                <w:rFonts w:hint="eastAsia" w:ascii="Times New Roman" w:hAnsi="Times New Roman" w:eastAsia="宋体" w:cs="Times New Roman"/>
                <w:color w:val="000000"/>
                <w:kern w:val="0"/>
                <w:sz w:val="22"/>
              </w:rPr>
              <w:t>一次性施肥</w:t>
            </w:r>
          </w:p>
        </w:tc>
        <w:tc>
          <w:tcPr>
            <w:tcW w:w="503" w:type="pct"/>
            <w:tcBorders>
              <w:top w:val="nil"/>
              <w:left w:val="nil"/>
              <w:bottom w:val="nil"/>
              <w:right w:val="nil"/>
            </w:tcBorders>
            <w:shd w:val="clear" w:color="auto" w:fill="auto"/>
            <w:noWrap/>
            <w:vAlign w:val="center"/>
          </w:tcPr>
          <w:p w14:paraId="2EF2A92E">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18.8ab</w:t>
            </w:r>
          </w:p>
        </w:tc>
        <w:tc>
          <w:tcPr>
            <w:tcW w:w="393" w:type="pct"/>
            <w:tcBorders>
              <w:top w:val="nil"/>
              <w:left w:val="nil"/>
              <w:bottom w:val="nil"/>
              <w:right w:val="nil"/>
            </w:tcBorders>
            <w:shd w:val="clear" w:color="auto" w:fill="auto"/>
            <w:noWrap/>
            <w:vAlign w:val="center"/>
          </w:tcPr>
          <w:p w14:paraId="091ADF51">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49.2a</w:t>
            </w:r>
          </w:p>
        </w:tc>
        <w:tc>
          <w:tcPr>
            <w:tcW w:w="490" w:type="pct"/>
            <w:tcBorders>
              <w:top w:val="nil"/>
              <w:left w:val="nil"/>
              <w:bottom w:val="nil"/>
              <w:right w:val="nil"/>
            </w:tcBorders>
            <w:shd w:val="clear" w:color="auto" w:fill="auto"/>
            <w:noWrap/>
            <w:vAlign w:val="center"/>
          </w:tcPr>
          <w:p w14:paraId="73885164">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0.1a</w:t>
            </w:r>
          </w:p>
        </w:tc>
        <w:tc>
          <w:tcPr>
            <w:tcW w:w="490" w:type="pct"/>
            <w:tcBorders>
              <w:top w:val="nil"/>
              <w:left w:val="nil"/>
              <w:bottom w:val="nil"/>
              <w:right w:val="nil"/>
            </w:tcBorders>
            <w:shd w:val="clear" w:color="auto" w:fill="auto"/>
            <w:noWrap/>
            <w:vAlign w:val="center"/>
          </w:tcPr>
          <w:p w14:paraId="353A362B">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15.9a</w:t>
            </w:r>
          </w:p>
        </w:tc>
        <w:tc>
          <w:tcPr>
            <w:tcW w:w="490" w:type="pct"/>
            <w:tcBorders>
              <w:top w:val="nil"/>
              <w:left w:val="nil"/>
              <w:bottom w:val="nil"/>
              <w:right w:val="nil"/>
            </w:tcBorders>
            <w:shd w:val="clear" w:color="auto" w:fill="auto"/>
            <w:noWrap/>
            <w:vAlign w:val="center"/>
          </w:tcPr>
          <w:p w14:paraId="53603C24">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33.8b</w:t>
            </w:r>
          </w:p>
        </w:tc>
        <w:tc>
          <w:tcPr>
            <w:tcW w:w="490" w:type="pct"/>
            <w:tcBorders>
              <w:top w:val="nil"/>
              <w:left w:val="nil"/>
              <w:bottom w:val="nil"/>
              <w:right w:val="nil"/>
            </w:tcBorders>
            <w:shd w:val="clear" w:color="auto" w:fill="auto"/>
            <w:noWrap/>
            <w:vAlign w:val="center"/>
          </w:tcPr>
          <w:p w14:paraId="1AED5272">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33ab</w:t>
            </w:r>
          </w:p>
        </w:tc>
        <w:tc>
          <w:tcPr>
            <w:tcW w:w="611" w:type="pct"/>
            <w:tcBorders>
              <w:top w:val="nil"/>
              <w:left w:val="nil"/>
              <w:bottom w:val="nil"/>
              <w:right w:val="nil"/>
            </w:tcBorders>
            <w:shd w:val="clear" w:color="auto" w:fill="auto"/>
            <w:noWrap/>
            <w:vAlign w:val="center"/>
          </w:tcPr>
          <w:p w14:paraId="413ED2B0">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885.6b</w:t>
            </w:r>
          </w:p>
        </w:tc>
        <w:tc>
          <w:tcPr>
            <w:tcW w:w="610" w:type="pct"/>
            <w:tcBorders>
              <w:top w:val="nil"/>
              <w:left w:val="nil"/>
              <w:bottom w:val="nil"/>
              <w:right w:val="nil"/>
            </w:tcBorders>
            <w:shd w:val="clear" w:color="auto" w:fill="auto"/>
            <w:noWrap/>
            <w:vAlign w:val="center"/>
          </w:tcPr>
          <w:p w14:paraId="32BBFDB3">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 xml:space="preserve">787.7 </w:t>
            </w:r>
          </w:p>
        </w:tc>
      </w:tr>
      <w:tr w14:paraId="56041FDA">
        <w:tblPrEx>
          <w:tblCellMar>
            <w:top w:w="0" w:type="dxa"/>
            <w:left w:w="108" w:type="dxa"/>
            <w:bottom w:w="0" w:type="dxa"/>
            <w:right w:w="108" w:type="dxa"/>
          </w:tblCellMar>
        </w:tblPrEx>
        <w:trPr>
          <w:trHeight w:val="313" w:hRule="atLeast"/>
        </w:trPr>
        <w:tc>
          <w:tcPr>
            <w:tcW w:w="923" w:type="pct"/>
            <w:tcBorders>
              <w:top w:val="nil"/>
              <w:left w:val="nil"/>
              <w:bottom w:val="single" w:color="auto" w:sz="8" w:space="0"/>
              <w:right w:val="nil"/>
            </w:tcBorders>
            <w:shd w:val="clear" w:color="auto" w:fill="auto"/>
            <w:noWrap/>
            <w:vAlign w:val="center"/>
          </w:tcPr>
          <w:p w14:paraId="3F21745E">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T1</w:t>
            </w:r>
            <w:r>
              <w:rPr>
                <w:rFonts w:hint="eastAsia" w:ascii="Times New Roman" w:hAnsi="Times New Roman" w:eastAsia="宋体" w:cs="Times New Roman"/>
                <w:color w:val="000000"/>
                <w:kern w:val="0"/>
                <w:sz w:val="22"/>
              </w:rPr>
              <w:t>水肥一体化</w:t>
            </w:r>
          </w:p>
        </w:tc>
        <w:tc>
          <w:tcPr>
            <w:tcW w:w="503" w:type="pct"/>
            <w:tcBorders>
              <w:top w:val="nil"/>
              <w:left w:val="nil"/>
              <w:bottom w:val="single" w:color="auto" w:sz="8" w:space="0"/>
              <w:right w:val="nil"/>
            </w:tcBorders>
            <w:shd w:val="clear" w:color="auto" w:fill="auto"/>
            <w:noWrap/>
            <w:vAlign w:val="center"/>
          </w:tcPr>
          <w:p w14:paraId="6490DFE4">
            <w:pPr>
              <w:widowControl/>
              <w:jc w:val="center"/>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19.5a</w:t>
            </w:r>
          </w:p>
        </w:tc>
        <w:tc>
          <w:tcPr>
            <w:tcW w:w="393" w:type="pct"/>
            <w:tcBorders>
              <w:top w:val="nil"/>
              <w:left w:val="nil"/>
              <w:bottom w:val="single" w:color="auto" w:sz="8" w:space="0"/>
              <w:right w:val="nil"/>
            </w:tcBorders>
            <w:shd w:val="clear" w:color="auto" w:fill="auto"/>
            <w:noWrap/>
            <w:vAlign w:val="center"/>
          </w:tcPr>
          <w:p w14:paraId="6FD46498">
            <w:pPr>
              <w:widowControl/>
              <w:jc w:val="center"/>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49.1a</w:t>
            </w:r>
          </w:p>
        </w:tc>
        <w:tc>
          <w:tcPr>
            <w:tcW w:w="490" w:type="pct"/>
            <w:tcBorders>
              <w:top w:val="nil"/>
              <w:left w:val="nil"/>
              <w:bottom w:val="single" w:color="auto" w:sz="8" w:space="0"/>
              <w:right w:val="nil"/>
            </w:tcBorders>
            <w:shd w:val="clear" w:color="auto" w:fill="auto"/>
            <w:noWrap/>
            <w:vAlign w:val="center"/>
          </w:tcPr>
          <w:p w14:paraId="0A0E21DF">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0.2a</w:t>
            </w:r>
          </w:p>
        </w:tc>
        <w:tc>
          <w:tcPr>
            <w:tcW w:w="490" w:type="pct"/>
            <w:tcBorders>
              <w:top w:val="nil"/>
              <w:left w:val="nil"/>
              <w:bottom w:val="single" w:color="auto" w:sz="8" w:space="0"/>
              <w:right w:val="nil"/>
            </w:tcBorders>
            <w:shd w:val="clear" w:color="auto" w:fill="auto"/>
            <w:noWrap/>
            <w:vAlign w:val="center"/>
          </w:tcPr>
          <w:p w14:paraId="40A86CE6">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15.7a</w:t>
            </w:r>
          </w:p>
        </w:tc>
        <w:tc>
          <w:tcPr>
            <w:tcW w:w="490" w:type="pct"/>
            <w:tcBorders>
              <w:top w:val="nil"/>
              <w:left w:val="nil"/>
              <w:bottom w:val="single" w:color="auto" w:sz="8" w:space="0"/>
              <w:right w:val="nil"/>
            </w:tcBorders>
            <w:shd w:val="clear" w:color="auto" w:fill="auto"/>
            <w:noWrap/>
            <w:vAlign w:val="center"/>
          </w:tcPr>
          <w:p w14:paraId="04FC4CEF">
            <w:pPr>
              <w:widowControl/>
              <w:jc w:val="center"/>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35.2a</w:t>
            </w:r>
          </w:p>
        </w:tc>
        <w:tc>
          <w:tcPr>
            <w:tcW w:w="490" w:type="pct"/>
            <w:tcBorders>
              <w:top w:val="nil"/>
              <w:left w:val="nil"/>
              <w:bottom w:val="single" w:color="auto" w:sz="8" w:space="0"/>
              <w:right w:val="nil"/>
            </w:tcBorders>
            <w:shd w:val="clear" w:color="auto" w:fill="auto"/>
            <w:noWrap/>
            <w:vAlign w:val="center"/>
          </w:tcPr>
          <w:p w14:paraId="6530BE27">
            <w:pPr>
              <w:widowControl/>
              <w:jc w:val="center"/>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33.4a</w:t>
            </w:r>
          </w:p>
        </w:tc>
        <w:tc>
          <w:tcPr>
            <w:tcW w:w="611" w:type="pct"/>
            <w:tcBorders>
              <w:top w:val="nil"/>
              <w:left w:val="nil"/>
              <w:bottom w:val="single" w:color="auto" w:sz="8" w:space="0"/>
              <w:right w:val="nil"/>
            </w:tcBorders>
            <w:shd w:val="clear" w:color="auto" w:fill="auto"/>
            <w:noWrap/>
            <w:vAlign w:val="center"/>
          </w:tcPr>
          <w:p w14:paraId="271E45CB">
            <w:pPr>
              <w:widowControl/>
              <w:jc w:val="center"/>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924a</w:t>
            </w:r>
          </w:p>
        </w:tc>
        <w:tc>
          <w:tcPr>
            <w:tcW w:w="610" w:type="pct"/>
            <w:tcBorders>
              <w:top w:val="nil"/>
              <w:left w:val="nil"/>
              <w:bottom w:val="single" w:color="auto" w:sz="8" w:space="0"/>
              <w:right w:val="nil"/>
            </w:tcBorders>
            <w:shd w:val="clear" w:color="auto" w:fill="auto"/>
            <w:noWrap/>
            <w:vAlign w:val="center"/>
          </w:tcPr>
          <w:p w14:paraId="7239F205">
            <w:pPr>
              <w:widowControl/>
              <w:jc w:val="center"/>
              <w:rPr>
                <w:rFonts w:ascii="Times New Roman" w:hAnsi="Times New Roman" w:eastAsia="宋体" w:cs="Times New Roman"/>
                <w:color w:val="FF0000"/>
                <w:kern w:val="0"/>
                <w:sz w:val="22"/>
              </w:rPr>
            </w:pPr>
            <w:r>
              <w:rPr>
                <w:rFonts w:ascii="Times New Roman" w:hAnsi="Times New Roman" w:eastAsia="宋体" w:cs="Times New Roman"/>
                <w:color w:val="FF0000"/>
                <w:kern w:val="0"/>
                <w:sz w:val="22"/>
              </w:rPr>
              <w:t xml:space="preserve">965.0 </w:t>
            </w:r>
          </w:p>
        </w:tc>
      </w:tr>
    </w:tbl>
    <w:p w14:paraId="79C3BAED">
      <w:pPr>
        <w:ind w:firstLine="640" w:firstLineChars="200"/>
        <w:jc w:val="left"/>
        <w:rPr>
          <w:rFonts w:ascii="仿宋_GB2312" w:eastAsia="仿宋_GB2312"/>
          <w:kern w:val="0"/>
          <w:sz w:val="32"/>
          <w:szCs w:val="32"/>
        </w:rPr>
      </w:pPr>
      <w:r>
        <w:rPr>
          <w:rFonts w:hint="eastAsia" w:ascii="仿宋_GB2312" w:eastAsia="仿宋_GB2312"/>
          <w:kern w:val="0"/>
          <w:sz w:val="32"/>
          <w:szCs w:val="32"/>
        </w:rPr>
        <w:t>T1水肥一体化在实际产量为965kg，较对照增产22.5%。同时，水肥一体化技术在提高玉米穗长、穗粗、行粒数、百粒重上具有积极作用，</w:t>
      </w:r>
    </w:p>
    <w:p w14:paraId="641FA9D0">
      <w:pPr>
        <w:snapToGrid w:val="0"/>
        <w:spacing w:line="360" w:lineRule="auto"/>
        <w:ind w:firstLine="425" w:firstLineChars="133"/>
        <w:rPr>
          <w:rFonts w:ascii="楷体" w:hAnsi="楷体" w:eastAsia="楷体"/>
          <w:sz w:val="32"/>
          <w:szCs w:val="32"/>
        </w:rPr>
      </w:pPr>
      <w:r>
        <w:rPr>
          <w:rFonts w:hint="eastAsia" w:ascii="楷体" w:hAnsi="楷体" w:eastAsia="楷体"/>
          <w:sz w:val="32"/>
          <w:szCs w:val="32"/>
        </w:rPr>
        <w:t>（二）技术经济论证、预期的经济效果</w:t>
      </w:r>
    </w:p>
    <w:p w14:paraId="2857B0E6">
      <w:pPr>
        <w:snapToGrid w:val="0"/>
        <w:spacing w:line="360" w:lineRule="auto"/>
        <w:ind w:firstLine="425" w:firstLineChars="133"/>
        <w:rPr>
          <w:rFonts w:ascii="楷体" w:hAnsi="楷体" w:eastAsia="楷体"/>
          <w:sz w:val="32"/>
          <w:szCs w:val="32"/>
        </w:rPr>
      </w:pPr>
      <w:r>
        <w:rPr>
          <w:rFonts w:hint="eastAsia" w:ascii="仿宋_GB2312" w:eastAsia="仿宋_GB2312"/>
          <w:kern w:val="0"/>
          <w:sz w:val="32"/>
          <w:szCs w:val="32"/>
        </w:rPr>
        <w:t>本标准旨在提供标准化、规范化、可操作的玉米适密水肥一体化生产技术，为从业人员对玉米生产提供参考。本技术对于新乡玉米种植地区提高生产效率、提升水肥管理水平、提高经济效益有重要意义，且该技术可达到增产的效果。经简略计算每亩地平均增收约160元</w:t>
      </w:r>
      <w:r>
        <w:rPr>
          <w:rFonts w:hint="eastAsia" w:ascii="楷体" w:hAnsi="楷体" w:eastAsia="楷体"/>
          <w:sz w:val="32"/>
          <w:szCs w:val="32"/>
        </w:rPr>
        <w:t>。</w:t>
      </w:r>
    </w:p>
    <w:p w14:paraId="0DF6B192">
      <w:pPr>
        <w:snapToGrid w:val="0"/>
        <w:rPr>
          <w:rFonts w:ascii="仿宋_GB2312" w:hAnsi="Times New Roman" w:eastAsia="仿宋_GB2312" w:cs="Times New Roman"/>
          <w:kern w:val="0"/>
          <w:sz w:val="32"/>
          <w:szCs w:val="32"/>
        </w:rPr>
      </w:pPr>
      <w:r>
        <w:rPr>
          <w:rFonts w:ascii="仿宋_GB2312" w:hAnsi="Times New Roman" w:eastAsia="仿宋_GB2312" w:cs="Times New Roman"/>
          <w:kern w:val="0"/>
          <w:sz w:val="32"/>
          <w:szCs w:val="32"/>
        </w:rPr>
        <w:drawing>
          <wp:inline distT="0" distB="0" distL="0" distR="0">
            <wp:extent cx="5600700" cy="12573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611487" cy="1259722"/>
                    </a:xfrm>
                    <a:prstGeom prst="rect">
                      <a:avLst/>
                    </a:prstGeom>
                    <a:noFill/>
                  </pic:spPr>
                </pic:pic>
              </a:graphicData>
            </a:graphic>
          </wp:inline>
        </w:drawing>
      </w:r>
    </w:p>
    <w:p w14:paraId="50B724AE">
      <w:pPr>
        <w:snapToGrid w:val="0"/>
        <w:rPr>
          <w:rFonts w:ascii="仿宋_GB2312" w:hAnsi="Times New Roman" w:eastAsia="仿宋_GB2312" w:cs="Times New Roman"/>
          <w:kern w:val="0"/>
          <w:sz w:val="32"/>
          <w:szCs w:val="32"/>
        </w:rPr>
      </w:pPr>
    </w:p>
    <w:p w14:paraId="61C61D37">
      <w:pPr>
        <w:snapToGrid w:val="0"/>
        <w:spacing w:line="360" w:lineRule="auto"/>
        <w:ind w:firstLine="627" w:firstLineChars="196"/>
        <w:rPr>
          <w:rFonts w:ascii="仿宋_GB2312" w:eastAsia="仿宋_GB2312"/>
          <w:kern w:val="0"/>
          <w:sz w:val="28"/>
          <w:szCs w:val="28"/>
        </w:rPr>
      </w:pPr>
      <w:r>
        <w:rPr>
          <w:rFonts w:hint="eastAsia" w:ascii="黑体" w:hAnsi="黑体" w:eastAsia="黑体"/>
          <w:kern w:val="0"/>
          <w:sz w:val="32"/>
          <w:szCs w:val="32"/>
        </w:rPr>
        <w:t>五、重大意见分歧的处理</w:t>
      </w:r>
    </w:p>
    <w:p w14:paraId="0C3FC706">
      <w:pPr>
        <w:snapToGrid w:val="0"/>
        <w:spacing w:line="360" w:lineRule="auto"/>
        <w:ind w:firstLine="425" w:firstLineChars="133"/>
        <w:rPr>
          <w:rFonts w:ascii="仿宋_GB2312" w:eastAsia="仿宋_GB2312"/>
          <w:kern w:val="0"/>
          <w:sz w:val="28"/>
          <w:szCs w:val="28"/>
        </w:rPr>
      </w:pPr>
      <w:r>
        <w:rPr>
          <w:rFonts w:hint="eastAsia" w:ascii="仿宋_GB2312" w:eastAsia="仿宋_GB2312"/>
          <w:kern w:val="0"/>
          <w:sz w:val="32"/>
          <w:szCs w:val="32"/>
        </w:rPr>
        <w:t>无</w:t>
      </w:r>
      <w:r>
        <w:rPr>
          <w:rFonts w:hint="eastAsia" w:ascii="仿宋_GB2312" w:eastAsia="仿宋_GB2312"/>
          <w:kern w:val="0"/>
          <w:sz w:val="28"/>
          <w:szCs w:val="28"/>
        </w:rPr>
        <w:t>。</w:t>
      </w:r>
    </w:p>
    <w:p w14:paraId="4092EDD0">
      <w:pPr>
        <w:snapToGrid w:val="0"/>
        <w:spacing w:line="360" w:lineRule="auto"/>
        <w:ind w:firstLine="627" w:firstLineChars="196"/>
        <w:rPr>
          <w:rFonts w:ascii="仿宋_GB2312" w:eastAsia="仿宋_GB2312"/>
          <w:kern w:val="0"/>
          <w:sz w:val="28"/>
          <w:szCs w:val="28"/>
        </w:rPr>
      </w:pPr>
      <w:r>
        <w:rPr>
          <w:rFonts w:hint="eastAsia" w:ascii="黑体" w:hAnsi="黑体" w:eastAsia="黑体"/>
          <w:kern w:val="0"/>
          <w:sz w:val="32"/>
          <w:szCs w:val="32"/>
        </w:rPr>
        <w:t>六、与国家法律法规和强制性标准的关系</w:t>
      </w:r>
    </w:p>
    <w:p w14:paraId="5F7FEF76">
      <w:pPr>
        <w:snapToGrid w:val="0"/>
        <w:spacing w:line="360" w:lineRule="auto"/>
        <w:ind w:firstLine="640" w:firstLineChars="200"/>
        <w:rPr>
          <w:rFonts w:ascii="仿宋_GB2312" w:eastAsia="仿宋_GB2312"/>
          <w:kern w:val="0"/>
          <w:sz w:val="28"/>
          <w:szCs w:val="28"/>
        </w:rPr>
      </w:pPr>
      <w:r>
        <w:rPr>
          <w:rFonts w:hint="eastAsia" w:ascii="仿宋_GB2312" w:eastAsia="仿宋_GB2312"/>
          <w:kern w:val="0"/>
          <w:sz w:val="32"/>
          <w:szCs w:val="32"/>
        </w:rPr>
        <w:t>本标准不违反相关法律法规及强制性标准，不存在重复的国家标准、行业标准。</w:t>
      </w:r>
      <w:r>
        <w:rPr>
          <w:rFonts w:hint="eastAsia" w:ascii="仿宋_GB2312" w:eastAsia="仿宋_GB2312"/>
          <w:kern w:val="0"/>
          <w:sz w:val="28"/>
          <w:szCs w:val="28"/>
        </w:rPr>
        <w:t xml:space="preserve"> </w:t>
      </w:r>
    </w:p>
    <w:p w14:paraId="33DC4A74">
      <w:pPr>
        <w:snapToGrid w:val="0"/>
        <w:spacing w:line="360" w:lineRule="auto"/>
        <w:ind w:firstLine="640" w:firstLineChars="200"/>
        <w:rPr>
          <w:rFonts w:ascii="仿宋_GB2312" w:eastAsia="仿宋_GB2312"/>
          <w:kern w:val="0"/>
          <w:sz w:val="28"/>
          <w:szCs w:val="28"/>
        </w:rPr>
      </w:pPr>
      <w:r>
        <w:rPr>
          <w:rFonts w:hint="eastAsia" w:ascii="黑体" w:hAnsi="黑体" w:eastAsia="黑体"/>
          <w:kern w:val="0"/>
          <w:sz w:val="32"/>
          <w:szCs w:val="32"/>
        </w:rPr>
        <w:t>七、标准实施的建议</w:t>
      </w:r>
    </w:p>
    <w:p w14:paraId="62FA4121">
      <w:pPr>
        <w:snapToGrid w:val="0"/>
        <w:spacing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标准使用方为了实施该标准，需要准备玉米滴灌播种机及水泵等必要器具及设备，并且需要选择河水、井水等水源为必要条件方可实施。标准使用方需要具备一定学习能力，熟悉滴灌带、施肥器、水闸等必要设备的使用和维护。</w:t>
      </w:r>
    </w:p>
    <w:p w14:paraId="1DC3149B">
      <w:pPr>
        <w:snapToGrid w:val="0"/>
        <w:spacing w:line="360" w:lineRule="auto"/>
        <w:ind w:firstLine="640" w:firstLineChars="200"/>
        <w:rPr>
          <w:rFonts w:ascii="仿宋_GB2312" w:eastAsia="仿宋_GB2312"/>
          <w:kern w:val="0"/>
          <w:sz w:val="28"/>
          <w:szCs w:val="28"/>
        </w:rPr>
      </w:pPr>
      <w:r>
        <w:rPr>
          <w:rFonts w:hint="eastAsia" w:ascii="黑体" w:hAnsi="黑体" w:eastAsia="黑体"/>
          <w:kern w:val="0"/>
          <w:sz w:val="32"/>
          <w:szCs w:val="32"/>
        </w:rPr>
        <w:t>八、其他应予说明的事项</w:t>
      </w:r>
    </w:p>
    <w:p w14:paraId="2A2694EB">
      <w:pPr>
        <w:snapToGrid w:val="0"/>
        <w:spacing w:line="360" w:lineRule="auto"/>
        <w:ind w:firstLine="640" w:firstLineChars="200"/>
        <w:rPr>
          <w:rFonts w:ascii="仿宋_GB2312" w:eastAsia="仿宋_GB2312"/>
          <w:kern w:val="0"/>
          <w:sz w:val="32"/>
          <w:szCs w:val="32"/>
        </w:rPr>
      </w:pPr>
      <w:r>
        <w:rPr>
          <w:rFonts w:hint="eastAsia" w:ascii="仿宋_GB2312" w:eastAsia="仿宋_GB2312"/>
          <w:kern w:val="0"/>
          <w:sz w:val="32"/>
          <w:szCs w:val="32"/>
        </w:rPr>
        <w:t>无。</w:t>
      </w:r>
    </w:p>
    <w:p w14:paraId="61411128">
      <w:pPr>
        <w:snapToGrid w:val="0"/>
        <w:spacing w:line="360" w:lineRule="auto"/>
        <w:rPr>
          <w:rFonts w:ascii="仿宋_GB2312" w:eastAsia="仿宋_GB2312"/>
          <w:kern w:val="0"/>
          <w:sz w:val="30"/>
          <w:szCs w:val="30"/>
        </w:rPr>
      </w:pPr>
    </w:p>
    <w:p w14:paraId="623B57F4">
      <w:pPr>
        <w:snapToGrid w:val="0"/>
        <w:spacing w:line="360" w:lineRule="auto"/>
        <w:ind w:firstLine="960" w:firstLineChars="300"/>
        <w:rPr>
          <w:rFonts w:ascii="仿宋_GB2312" w:eastAsia="仿宋_GB2312"/>
          <w:kern w:val="0"/>
          <w:sz w:val="32"/>
          <w:szCs w:val="32"/>
        </w:rPr>
      </w:pPr>
      <w:r>
        <w:rPr>
          <w:rFonts w:hint="eastAsia" w:ascii="仿宋_GB2312" w:eastAsia="仿宋_GB2312"/>
          <w:kern w:val="0"/>
          <w:sz w:val="32"/>
          <w:szCs w:val="32"/>
        </w:rPr>
        <w:t>《玉米适密水肥一体化生产技术规程》标准起草小组</w:t>
      </w:r>
    </w:p>
    <w:p w14:paraId="36964B6C">
      <w:pPr>
        <w:snapToGrid w:val="0"/>
        <w:spacing w:line="360" w:lineRule="auto"/>
        <w:rPr>
          <w:rFonts w:ascii="仿宋_GB2312" w:eastAsia="仿宋_GB2312"/>
          <w:kern w:val="0"/>
          <w:sz w:val="30"/>
          <w:szCs w:val="30"/>
        </w:rPr>
      </w:pPr>
      <w:r>
        <w:rPr>
          <w:rFonts w:hint="eastAsia" w:ascii="仿宋_GB2312" w:eastAsia="仿宋_GB2312"/>
          <w:kern w:val="0"/>
          <w:sz w:val="32"/>
          <w:szCs w:val="32"/>
        </w:rPr>
        <w:t xml:space="preserve">                             二〇二五年四月十五日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12"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AD2"/>
    <w:rsid w:val="00001C1F"/>
    <w:rsid w:val="00007CF8"/>
    <w:rsid w:val="000A6A08"/>
    <w:rsid w:val="000B4C40"/>
    <w:rsid w:val="000D32AF"/>
    <w:rsid w:val="000E2EFB"/>
    <w:rsid w:val="00117AF1"/>
    <w:rsid w:val="001270FD"/>
    <w:rsid w:val="0013376B"/>
    <w:rsid w:val="00206F2C"/>
    <w:rsid w:val="00252E8E"/>
    <w:rsid w:val="003308CB"/>
    <w:rsid w:val="00330D62"/>
    <w:rsid w:val="00357296"/>
    <w:rsid w:val="00366DF5"/>
    <w:rsid w:val="003870E7"/>
    <w:rsid w:val="00391C98"/>
    <w:rsid w:val="003A08FF"/>
    <w:rsid w:val="003C1AB4"/>
    <w:rsid w:val="00433CCB"/>
    <w:rsid w:val="00434D22"/>
    <w:rsid w:val="00492F2C"/>
    <w:rsid w:val="005325C3"/>
    <w:rsid w:val="00540B7E"/>
    <w:rsid w:val="0056063D"/>
    <w:rsid w:val="00586CD6"/>
    <w:rsid w:val="005E2D54"/>
    <w:rsid w:val="0063347A"/>
    <w:rsid w:val="00645D59"/>
    <w:rsid w:val="00667847"/>
    <w:rsid w:val="0069660B"/>
    <w:rsid w:val="006E7DFE"/>
    <w:rsid w:val="00744569"/>
    <w:rsid w:val="00751DD8"/>
    <w:rsid w:val="00752C78"/>
    <w:rsid w:val="00765F1F"/>
    <w:rsid w:val="0077438E"/>
    <w:rsid w:val="0078086B"/>
    <w:rsid w:val="007E736C"/>
    <w:rsid w:val="007F056C"/>
    <w:rsid w:val="00866FF5"/>
    <w:rsid w:val="0086750B"/>
    <w:rsid w:val="008D2640"/>
    <w:rsid w:val="00905E0D"/>
    <w:rsid w:val="00931F72"/>
    <w:rsid w:val="00946D41"/>
    <w:rsid w:val="009C054F"/>
    <w:rsid w:val="009C3EDA"/>
    <w:rsid w:val="009E6F45"/>
    <w:rsid w:val="00A05B8D"/>
    <w:rsid w:val="00A2698D"/>
    <w:rsid w:val="00AB2C49"/>
    <w:rsid w:val="00B32447"/>
    <w:rsid w:val="00B54CFB"/>
    <w:rsid w:val="00BB0AD2"/>
    <w:rsid w:val="00BE1AB4"/>
    <w:rsid w:val="00C11425"/>
    <w:rsid w:val="00C17AB2"/>
    <w:rsid w:val="00C25593"/>
    <w:rsid w:val="00CA3DDF"/>
    <w:rsid w:val="00D75FEE"/>
    <w:rsid w:val="00D90FD2"/>
    <w:rsid w:val="00DE3E88"/>
    <w:rsid w:val="00E673D6"/>
    <w:rsid w:val="00E759DB"/>
    <w:rsid w:val="00F00579"/>
    <w:rsid w:val="00F04B2B"/>
    <w:rsid w:val="00F41870"/>
    <w:rsid w:val="00F9507F"/>
    <w:rsid w:val="00FE2CCA"/>
    <w:rsid w:val="00FF7855"/>
    <w:rsid w:val="3DC67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段 Char"/>
    <w:link w:val="10"/>
    <w:uiPriority w:val="0"/>
    <w:rPr>
      <w:rFonts w:ascii="宋体"/>
    </w:rPr>
  </w:style>
  <w:style w:type="paragraph" w:customStyle="1" w:styleId="10">
    <w:name w:val="段"/>
    <w:link w:val="9"/>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1314</Words>
  <Characters>1472</Characters>
  <Lines>24</Lines>
  <Paragraphs>6</Paragraphs>
  <TotalTime>1727</TotalTime>
  <ScaleCrop>false</ScaleCrop>
  <LinksUpToDate>false</LinksUpToDate>
  <CharactersWithSpaces>1507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2024-04-21T15:07:00Z</dcterms:created>
  <dc:creator>李昱浩</dc:creator>
  <cp:lastModifiedBy>86150</cp:lastModifiedBy>
  <dcterms:modified xsi:type="dcterms:W3CDTF">2025-04-16T11:15:40Z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eyJoZGlkIjoiNTM2NDBhNzg4ZjhhZDY2NTZhODNmY2YwMGUxOWFhZmMifQ==</vt:lpwstr>
  </property>
  <property fmtid="{D5CDD505-2E9C-101B-9397-08002B2CF9AE}" pid="3" name="KSOProductBuildVer">
    <vt:lpwstr>2052-12.1.0.20305</vt:lpwstr>
  </property>
  <property fmtid="{D5CDD505-2E9C-101B-9397-08002B2CF9AE}" pid="4" name="ICV">
    <vt:lpwstr>062773DA2C314CEE9ED1523B2B61011B_12</vt:lpwstr>
  </property>
</Properties>
</file>