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河南仙鹿医药科技有限公司检查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一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固体饮料生产设备无运行状态明显标识</w:t>
      </w:r>
      <w:r>
        <w:rPr>
          <w:rFonts w:hint="eastAsia" w:ascii="仿宋_GB2312" w:hAnsi="楷体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贮存及交付控制方面。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食品添加剂与原料混放，未专库或专区贮存；出厂记录内容不完整。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从业人员管理方面。</w:t>
      </w: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  <w:t>无从业人员食品安全知识培训记录。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1项，一般不符合项3项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rPr>
          <w:rFonts w:hint="eastAsia"/>
          <w:lang w:val="en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FAC3E"/>
    <w:multiLevelType w:val="singleLevel"/>
    <w:tmpl w:val="63FFA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EFA585E7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