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C87519">
        <w:tc>
          <w:tcPr>
            <w:tcW w:w="509" w:type="dxa"/>
          </w:tcPr>
          <w:p w:rsidR="00C87519" w:rsidRDefault="00877676">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87519" w:rsidRDefault="00877676">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65.020.30</w:t>
            </w:r>
            <w:r>
              <w:rPr>
                <w:rFonts w:ascii="黑体" w:eastAsia="黑体" w:hAnsi="黑体"/>
                <w:sz w:val="21"/>
                <w:szCs w:val="21"/>
              </w:rPr>
              <w:t xml:space="preserve"> </w:t>
            </w:r>
            <w:r>
              <w:rPr>
                <w:rFonts w:ascii="黑体" w:eastAsia="黑体" w:hAnsi="黑体"/>
                <w:sz w:val="21"/>
                <w:szCs w:val="21"/>
              </w:rPr>
              <w:fldChar w:fldCharType="end"/>
            </w:r>
            <w:bookmarkEnd w:id="0"/>
          </w:p>
        </w:tc>
      </w:tr>
      <w:tr w:rsidR="00C87519">
        <w:tc>
          <w:tcPr>
            <w:tcW w:w="509" w:type="dxa"/>
          </w:tcPr>
          <w:p w:rsidR="00C87519" w:rsidRDefault="0087767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C87519" w:rsidRDefault="0087767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42</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C87519">
        <w:tc>
          <w:tcPr>
            <w:tcW w:w="6407" w:type="dxa"/>
          </w:tcPr>
          <w:p w:rsidR="00C87519" w:rsidRDefault="00877676" w:rsidP="00102690">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102690">
              <w:t>4107</w:t>
            </w:r>
            <w:r>
              <w:fldChar w:fldCharType="end"/>
            </w:r>
            <w:bookmarkEnd w:id="3"/>
          </w:p>
        </w:tc>
      </w:tr>
    </w:tbl>
    <w:p w:rsidR="00C87519" w:rsidRDefault="00877676">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新乡市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C87519" w:rsidRDefault="00877676">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sidR="00102690">
        <w:rPr>
          <w:lang w:val="fr-FR"/>
        </w:rPr>
        <w:t>4107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C87519" w:rsidRDefault="00877676">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xml:space="preserve">代替 DB </w:t>
      </w:r>
      <w:r>
        <w:rPr>
          <w:rFonts w:hAnsi="黑体" w:hint="eastAsia"/>
        </w:rPr>
        <w:t>4107</w:t>
      </w:r>
      <w:r>
        <w:rPr>
          <w:rFonts w:hAnsi="黑体"/>
        </w:rPr>
        <w:t>/T</w:t>
      </w:r>
      <w:r>
        <w:rPr>
          <w:rFonts w:hAnsi="黑体" w:hint="eastAsia"/>
        </w:rPr>
        <w:t xml:space="preserve"> 426-2019</w:t>
      </w:r>
      <w:r>
        <w:rPr>
          <w:rFonts w:hAnsi="黑体"/>
        </w:rPr>
        <w:fldChar w:fldCharType="end"/>
      </w:r>
      <w:bookmarkEnd w:id="8"/>
    </w:p>
    <w:p w:rsidR="00C87519" w:rsidRDefault="0087767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68E6C46"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C87519" w:rsidRDefault="00C87519">
      <w:pPr>
        <w:pStyle w:val="afffff0"/>
        <w:framePr w:w="9639" w:h="6976" w:hRule="exact" w:hSpace="0" w:vSpace="0" w:wrap="around" w:hAnchor="page" w:y="6408"/>
        <w:jc w:val="center"/>
        <w:rPr>
          <w:rFonts w:ascii="黑体" w:eastAsia="黑体" w:hAnsi="黑体"/>
          <w:b w:val="0"/>
          <w:bCs w:val="0"/>
          <w:w w:val="100"/>
        </w:rPr>
      </w:pPr>
    </w:p>
    <w:p w:rsidR="00C87519" w:rsidRDefault="00877676">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02690">
        <w:t>肉羊场兽药使用管理规范</w:t>
      </w:r>
      <w:r>
        <w:fldChar w:fldCharType="end"/>
      </w:r>
      <w:bookmarkEnd w:id="9"/>
    </w:p>
    <w:p w:rsidR="00C87519" w:rsidRDefault="00C87519">
      <w:pPr>
        <w:framePr w:w="9639" w:h="6974" w:hRule="exact" w:wrap="around" w:vAnchor="page" w:hAnchor="page" w:x="1419" w:y="6408" w:anchorLock="1"/>
        <w:ind w:left="-1418"/>
      </w:pPr>
    </w:p>
    <w:p w:rsidR="00C87519" w:rsidRDefault="00877676">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Management Specification of Veterinary Drug Use for Mutton Sheep Farm</w:t>
      </w:r>
      <w:r>
        <w:rPr>
          <w:rFonts w:eastAsia="黑体"/>
          <w:szCs w:val="28"/>
        </w:rPr>
        <w:fldChar w:fldCharType="end"/>
      </w:r>
      <w:bookmarkEnd w:id="10"/>
    </w:p>
    <w:p w:rsidR="00C87519" w:rsidRDefault="00C87519">
      <w:pPr>
        <w:framePr w:w="9639" w:h="6974" w:hRule="exact" w:wrap="around" w:vAnchor="page" w:hAnchor="page" w:x="1419" w:y="6408" w:anchorLock="1"/>
        <w:spacing w:line="760" w:lineRule="exact"/>
        <w:ind w:left="-1418"/>
      </w:pPr>
    </w:p>
    <w:p w:rsidR="00C87519" w:rsidRDefault="00C87519">
      <w:pPr>
        <w:pStyle w:val="afffffff8"/>
        <w:framePr w:w="9639" w:h="6974" w:hRule="exact" w:wrap="around" w:vAnchor="page" w:hAnchor="page" w:x="1419" w:y="6408" w:anchorLock="1"/>
        <w:textAlignment w:val="bottom"/>
        <w:rPr>
          <w:rFonts w:eastAsia="黑体"/>
          <w:szCs w:val="28"/>
        </w:rPr>
      </w:pPr>
    </w:p>
    <w:p w:rsidR="00C87519" w:rsidRDefault="00877676">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9A20D4">
        <w:rPr>
          <w:sz w:val="24"/>
          <w:szCs w:val="28"/>
        </w:rPr>
      </w:r>
      <w:r w:rsidR="009A20D4">
        <w:rPr>
          <w:sz w:val="24"/>
          <w:szCs w:val="28"/>
        </w:rPr>
        <w:fldChar w:fldCharType="separate"/>
      </w:r>
      <w:r>
        <w:rPr>
          <w:sz w:val="24"/>
          <w:szCs w:val="28"/>
        </w:rPr>
        <w:fldChar w:fldCharType="end"/>
      </w:r>
      <w:bookmarkEnd w:id="11"/>
    </w:p>
    <w:p w:rsidR="00C87519" w:rsidRDefault="00877676">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C87519" w:rsidRDefault="00877676">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9A20D4">
        <w:rPr>
          <w:b/>
          <w:sz w:val="21"/>
          <w:szCs w:val="28"/>
        </w:rPr>
      </w:r>
      <w:r w:rsidR="009A20D4">
        <w:rPr>
          <w:b/>
          <w:sz w:val="21"/>
          <w:szCs w:val="28"/>
        </w:rPr>
        <w:fldChar w:fldCharType="separate"/>
      </w:r>
      <w:r>
        <w:rPr>
          <w:b/>
          <w:sz w:val="21"/>
          <w:szCs w:val="28"/>
        </w:rPr>
        <w:fldChar w:fldCharType="end"/>
      </w:r>
      <w:bookmarkEnd w:id="13"/>
    </w:p>
    <w:p w:rsidR="00C87519" w:rsidRDefault="00877676">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C87519" w:rsidRDefault="00877676">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C87519" w:rsidRDefault="00877676">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sidR="00102690">
        <w:rPr>
          <w:rFonts w:hAnsi="黑体" w:hint="eastAsia"/>
          <w:w w:val="100"/>
          <w:sz w:val="28"/>
        </w:rPr>
        <w:t>新乡市市场</w:t>
      </w:r>
      <w:r w:rsidR="00102690">
        <w:rPr>
          <w:rFonts w:hAnsi="黑体"/>
          <w:w w:val="100"/>
          <w:sz w:val="28"/>
        </w:rPr>
        <w:t>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C87519" w:rsidRDefault="00877676">
      <w:pPr>
        <w:rPr>
          <w:rFonts w:ascii="宋体" w:hAnsi="宋体"/>
          <w:sz w:val="28"/>
          <w:szCs w:val="28"/>
        </w:rPr>
        <w:sectPr w:rsidR="00C87519">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8240" behindDoc="0" locked="1" layoutInCell="1" allowOverlap="1" wp14:anchorId="7F0D6494" wp14:editId="3FD88BA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2FE835C" id="直接连接符 5" o:spid="_x0000_s1026" style="position:absolute;left:0;text-align:left;z-index:251658240;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C87519" w:rsidRDefault="00877676">
      <w:pPr>
        <w:pStyle w:val="a6"/>
        <w:spacing w:after="468"/>
      </w:pPr>
      <w:bookmarkStart w:id="21" w:name="BookMark2"/>
      <w:r>
        <w:rPr>
          <w:spacing w:val="320"/>
        </w:rPr>
        <w:lastRenderedPageBreak/>
        <w:t>前</w:t>
      </w:r>
      <w:r>
        <w:t>言</w:t>
      </w:r>
    </w:p>
    <w:p w:rsidR="00C87519" w:rsidRDefault="00877676">
      <w:pPr>
        <w:pStyle w:val="afffff5"/>
        <w:ind w:firstLine="420"/>
      </w:pPr>
      <w:r>
        <w:rPr>
          <w:rFonts w:hint="eastAsia"/>
        </w:rPr>
        <w:t>本文件按照GB/T 1.1—2020《标准化工作导则  第1部分：标准化文件的结构和起草规则》的规定起草。</w:t>
      </w:r>
    </w:p>
    <w:p w:rsidR="00C87519" w:rsidRDefault="00877676">
      <w:pPr>
        <w:widowControl/>
        <w:autoSpaceDE w:val="0"/>
        <w:autoSpaceDN w:val="0"/>
        <w:adjustRightInd/>
        <w:spacing w:line="240" w:lineRule="auto"/>
        <w:ind w:firstLineChars="200" w:firstLine="420"/>
        <w:rPr>
          <w:rFonts w:ascii="宋体" w:hAnsi="宋体" w:cs="宋体"/>
          <w:kern w:val="0"/>
        </w:rPr>
      </w:pPr>
      <w:r>
        <w:rPr>
          <w:rFonts w:ascii="宋体" w:hAnsi="宋体" w:cs="宋体" w:hint="eastAsia"/>
          <w:kern w:val="0"/>
        </w:rPr>
        <w:t>本文件代替DB 4107/T 426-2019《肉羊场兽药使用管理规范》，与DB 4107/T 426-2019相比，除结构调整和编辑性改动外，主要技术变化如下：</w:t>
      </w:r>
    </w:p>
    <w:p w:rsidR="00C87519" w:rsidRDefault="00877676" w:rsidP="009027F6">
      <w:pPr>
        <w:pStyle w:val="af5"/>
      </w:pPr>
      <w:r>
        <w:rPr>
          <w:rFonts w:hint="eastAsia"/>
        </w:rPr>
        <w:t>更改了文件的适用范围（见第1章，2019年版的第1章）；</w:t>
      </w:r>
    </w:p>
    <w:p w:rsidR="00C87519" w:rsidRDefault="00877676">
      <w:pPr>
        <w:pStyle w:val="af5"/>
      </w:pPr>
      <w:r>
        <w:rPr>
          <w:rFonts w:hint="eastAsia"/>
        </w:rPr>
        <w:t>删除了引用的法律、法规、规章以及相关政策性文件，增加了引用的相关行业标准（见第2章，2019年版的第2章）；</w:t>
      </w:r>
    </w:p>
    <w:p w:rsidR="00C87519" w:rsidRDefault="00877676">
      <w:pPr>
        <w:pStyle w:val="af5"/>
      </w:pPr>
      <w:r>
        <w:rPr>
          <w:rFonts w:hint="eastAsia"/>
        </w:rPr>
        <w:t>删除了“兽用生物制品”术语的定义以及相关的验收内容（见2019年版的3.2、6.2.2）；</w:t>
      </w:r>
    </w:p>
    <w:p w:rsidR="00C87519" w:rsidRDefault="00877676">
      <w:pPr>
        <w:pStyle w:val="af5"/>
      </w:pPr>
      <w:r>
        <w:rPr>
          <w:rFonts w:hint="eastAsia"/>
        </w:rPr>
        <w:t>更改了“批准证明文件”的术语与定义（见3.4，2019年版的3.5）；</w:t>
      </w:r>
    </w:p>
    <w:p w:rsidR="00C87519" w:rsidRDefault="00877676">
      <w:pPr>
        <w:pStyle w:val="af5"/>
      </w:pPr>
      <w:r>
        <w:rPr>
          <w:rFonts w:hint="eastAsia"/>
        </w:rPr>
        <w:t>更改了“人员”一章中关于“聘用执业兽医师”的部分内容（见4.1，2019年版的4.1）；</w:t>
      </w:r>
    </w:p>
    <w:p w:rsidR="00C87519" w:rsidRDefault="00877676">
      <w:pPr>
        <w:pStyle w:val="af5"/>
      </w:pPr>
      <w:r>
        <w:rPr>
          <w:rFonts w:hint="eastAsia"/>
        </w:rPr>
        <w:t>删除了“采购”一章中“依照国家兽药管理规定、兽药标准和合同约定”的语句（见6.1.1，2019年版的6.1.1）；</w:t>
      </w:r>
    </w:p>
    <w:p w:rsidR="00C87519" w:rsidRDefault="00877676">
      <w:pPr>
        <w:pStyle w:val="af5"/>
      </w:pPr>
      <w:r>
        <w:rPr>
          <w:rFonts w:hint="eastAsia"/>
        </w:rPr>
        <w:t>删除了“用药”一章的部分内容（见8，2019年版的8）；</w:t>
      </w:r>
    </w:p>
    <w:p w:rsidR="00C87519" w:rsidRDefault="00877676">
      <w:pPr>
        <w:pStyle w:val="af5"/>
      </w:pPr>
      <w:r>
        <w:rPr>
          <w:rFonts w:hint="eastAsia"/>
        </w:rPr>
        <w:t>更改了质量管理档案保存期限（见11.3，2019年版的11.3）；</w:t>
      </w:r>
    </w:p>
    <w:p w:rsidR="00C87519" w:rsidRDefault="00877676">
      <w:pPr>
        <w:widowControl/>
        <w:autoSpaceDE w:val="0"/>
        <w:autoSpaceDN w:val="0"/>
        <w:adjustRightInd/>
        <w:spacing w:line="240" w:lineRule="auto"/>
        <w:ind w:firstLineChars="200" w:firstLine="420"/>
        <w:rPr>
          <w:rFonts w:ascii="宋体" w:hAnsi="宋体"/>
          <w:color w:val="000000"/>
          <w:kern w:val="0"/>
        </w:rPr>
      </w:pPr>
      <w:r>
        <w:rPr>
          <w:rFonts w:ascii="宋体" w:hAnsi="宋体" w:cs="宋体" w:hint="eastAsia"/>
          <w:kern w:val="0"/>
        </w:rPr>
        <w:t>请注意本文件的某些内容可能涉及专利。本文件的发布机构不承担识别专利的责任。</w:t>
      </w:r>
      <w:r>
        <w:rPr>
          <w:rFonts w:ascii="Times New Roman" w:hAnsi="Times New Roman" w:hint="eastAsia"/>
          <w:color w:val="000000"/>
          <w:kern w:val="0"/>
        </w:rPr>
        <w:t xml:space="preserve"> </w:t>
      </w:r>
    </w:p>
    <w:p w:rsidR="00C87519" w:rsidRDefault="00877676">
      <w:pPr>
        <w:widowControl/>
        <w:autoSpaceDE w:val="0"/>
        <w:autoSpaceDN w:val="0"/>
        <w:adjustRightInd/>
        <w:spacing w:line="240" w:lineRule="auto"/>
        <w:ind w:firstLineChars="200" w:firstLine="420"/>
        <w:rPr>
          <w:rFonts w:cs="宋体"/>
          <w:kern w:val="0"/>
        </w:rPr>
      </w:pPr>
      <w:r>
        <w:rPr>
          <w:rFonts w:ascii="宋体" w:hAnsi="宋体" w:cs="宋体" w:hint="eastAsia"/>
          <w:kern w:val="0"/>
        </w:rPr>
        <w:t>本文件由新乡市农业农村局提出并归口。</w:t>
      </w:r>
    </w:p>
    <w:p w:rsidR="00C87519" w:rsidRDefault="00877676">
      <w:pPr>
        <w:widowControl/>
        <w:autoSpaceDE w:val="0"/>
        <w:autoSpaceDN w:val="0"/>
        <w:adjustRightInd/>
        <w:spacing w:line="240" w:lineRule="auto"/>
        <w:ind w:firstLineChars="200" w:firstLine="420"/>
        <w:rPr>
          <w:rFonts w:ascii="宋体" w:hAnsi="宋体" w:cs="宋体"/>
          <w:kern w:val="0"/>
        </w:rPr>
      </w:pPr>
      <w:r>
        <w:rPr>
          <w:rFonts w:ascii="宋体" w:hAnsi="宋体" w:cs="宋体" w:hint="eastAsia"/>
          <w:kern w:val="0"/>
        </w:rPr>
        <w:t>本文件起草单位：</w:t>
      </w:r>
      <w:r w:rsidR="009027F6" w:rsidRPr="009027F6">
        <w:rPr>
          <w:rFonts w:ascii="宋体" w:hAnsi="宋体" w:cs="宋体" w:hint="eastAsia"/>
          <w:kern w:val="0"/>
        </w:rPr>
        <w:t>新乡市动物检疫站、新乡市农业综合行政执法支队、河南省动物检疫总站、牧野区农业农村局、新乡县古固寨镇农业办公室、新乡市产品质量检验检测中心</w:t>
      </w:r>
      <w:r>
        <w:rPr>
          <w:rFonts w:ascii="宋体" w:hAnsi="宋体" w:cs="宋体" w:hint="eastAsia"/>
          <w:kern w:val="0"/>
        </w:rPr>
        <w:t>。</w:t>
      </w:r>
    </w:p>
    <w:p w:rsidR="00C87519" w:rsidRDefault="00877676">
      <w:pPr>
        <w:widowControl/>
        <w:autoSpaceDE w:val="0"/>
        <w:autoSpaceDN w:val="0"/>
        <w:adjustRightInd/>
        <w:spacing w:line="240" w:lineRule="auto"/>
        <w:ind w:firstLineChars="200" w:firstLine="420"/>
        <w:rPr>
          <w:rFonts w:ascii="宋体" w:hAnsi="宋体" w:cs="宋体"/>
          <w:kern w:val="0"/>
        </w:rPr>
      </w:pPr>
      <w:r>
        <w:rPr>
          <w:rFonts w:ascii="宋体" w:hAnsi="宋体" w:cs="宋体" w:hint="eastAsia"/>
          <w:kern w:val="0"/>
        </w:rPr>
        <w:t>本文件主要起草人：</w:t>
      </w:r>
      <w:r w:rsidR="009027F6" w:rsidRPr="009027F6">
        <w:rPr>
          <w:rFonts w:ascii="宋体" w:hAnsi="宋体" w:cs="宋体" w:hint="eastAsia"/>
          <w:kern w:val="0"/>
        </w:rPr>
        <w:t>李春艳、李磊、周小娟、郭英旭、常卫波、张婷婷、郝晓鹏、王顺虎、单文良、孙芳、王秀杰、孔令芸</w:t>
      </w:r>
    </w:p>
    <w:p w:rsidR="00C87519" w:rsidRDefault="00877676">
      <w:pPr>
        <w:widowControl/>
        <w:autoSpaceDE w:val="0"/>
        <w:autoSpaceDN w:val="0"/>
        <w:adjustRightInd/>
        <w:spacing w:line="240" w:lineRule="auto"/>
        <w:ind w:firstLineChars="200" w:firstLine="420"/>
        <w:rPr>
          <w:rFonts w:ascii="宋体" w:hAnsi="宋体" w:cs="宋体"/>
          <w:kern w:val="0"/>
        </w:rPr>
      </w:pPr>
      <w:r>
        <w:rPr>
          <w:rFonts w:ascii="宋体" w:hAnsi="宋体" w:hint="eastAsia"/>
        </w:rPr>
        <w:t>本文件于</w:t>
      </w:r>
      <w:r>
        <w:rPr>
          <w:rFonts w:ascii="Times New Roman" w:hAnsi="Times New Roman" w:hint="eastAsia"/>
        </w:rPr>
        <w:t>2019</w:t>
      </w:r>
      <w:r>
        <w:rPr>
          <w:rFonts w:ascii="宋体" w:hAnsi="宋体" w:hint="eastAsia"/>
        </w:rPr>
        <w:t>年首次发布，本次为第一次修订</w:t>
      </w:r>
    </w:p>
    <w:p w:rsidR="00C87519" w:rsidRDefault="00C87519">
      <w:pPr>
        <w:pStyle w:val="afffff5"/>
        <w:ind w:firstLine="420"/>
        <w:sectPr w:rsidR="00C87519">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p>
    <w:p w:rsidR="00C87519" w:rsidRDefault="00C87519">
      <w:pPr>
        <w:spacing w:line="20" w:lineRule="exact"/>
        <w:jc w:val="center"/>
        <w:rPr>
          <w:rFonts w:ascii="黑体" w:eastAsia="黑体" w:hAnsi="黑体"/>
          <w:sz w:val="32"/>
          <w:szCs w:val="32"/>
        </w:rPr>
      </w:pPr>
      <w:bookmarkStart w:id="22" w:name="BookMark4"/>
      <w:bookmarkEnd w:id="21"/>
    </w:p>
    <w:p w:rsidR="00C87519" w:rsidRDefault="00C87519">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8975A923B47246D6BED454964269E5D6"/>
        </w:placeholder>
      </w:sdtPr>
      <w:sdtEndPr/>
      <w:sdtContent>
        <w:p w:rsidR="00C87519" w:rsidRDefault="00877676" w:rsidP="00102690">
          <w:pPr>
            <w:pStyle w:val="afffffffff8"/>
            <w:spacing w:beforeLines="1" w:before="3" w:afterLines="220" w:after="686"/>
          </w:pPr>
          <w:r>
            <w:rPr>
              <w:rFonts w:hint="eastAsia"/>
            </w:rPr>
            <w:t>肉羊场兽药使用管理规范</w:t>
          </w:r>
        </w:p>
      </w:sdtContent>
    </w:sdt>
    <w:p w:rsidR="00C87519" w:rsidRDefault="00877676">
      <w:pPr>
        <w:pStyle w:val="affc"/>
        <w:spacing w:before="312" w:after="312"/>
      </w:pPr>
      <w:bookmarkStart w:id="24" w:name="_Toc26718930"/>
      <w:bookmarkStart w:id="25" w:name="_Toc26648465"/>
      <w:bookmarkStart w:id="26" w:name="_Toc17233325"/>
      <w:bookmarkStart w:id="27" w:name="_Toc24884211"/>
      <w:bookmarkStart w:id="28" w:name="_Toc26986771"/>
      <w:bookmarkStart w:id="29" w:name="_Toc24884218"/>
      <w:bookmarkStart w:id="30" w:name="_Toc97191423"/>
      <w:bookmarkStart w:id="31" w:name="_Toc17233333"/>
      <w:bookmarkStart w:id="32" w:name="_Toc26986530"/>
      <w:bookmarkEnd w:id="23"/>
      <w:r>
        <w:rPr>
          <w:rFonts w:hint="eastAsia"/>
        </w:rPr>
        <w:t>范围</w:t>
      </w:r>
      <w:bookmarkEnd w:id="24"/>
      <w:bookmarkEnd w:id="25"/>
      <w:bookmarkEnd w:id="26"/>
      <w:bookmarkEnd w:id="27"/>
      <w:bookmarkEnd w:id="28"/>
      <w:bookmarkEnd w:id="29"/>
      <w:bookmarkEnd w:id="30"/>
      <w:bookmarkEnd w:id="31"/>
      <w:bookmarkEnd w:id="32"/>
    </w:p>
    <w:p w:rsidR="00C87519" w:rsidRDefault="00877676">
      <w:pPr>
        <w:pStyle w:val="afffff5"/>
        <w:ind w:firstLine="420"/>
      </w:pPr>
      <w:bookmarkStart w:id="33" w:name="_Toc24884212"/>
      <w:bookmarkStart w:id="34" w:name="_Toc17233326"/>
      <w:bookmarkStart w:id="35" w:name="_Toc26648466"/>
      <w:bookmarkStart w:id="36" w:name="_Toc24884219"/>
      <w:bookmarkStart w:id="37" w:name="_Toc17233334"/>
      <w:r>
        <w:rPr>
          <w:rFonts w:hint="eastAsia"/>
        </w:rPr>
        <w:t>本文件规定了肉羊场兽药使用的相关术语和定义、人员、采购与验收、入库与贮存、用药、不良反应报告制度、自检、档案等。</w:t>
      </w:r>
    </w:p>
    <w:p w:rsidR="00C87519" w:rsidRDefault="00877676">
      <w:pPr>
        <w:pStyle w:val="afffff5"/>
        <w:ind w:firstLine="420"/>
      </w:pPr>
      <w:r>
        <w:rPr>
          <w:rFonts w:hint="eastAsia"/>
        </w:rPr>
        <w:t>本文件适用于取得新乡市辖区内肉羊场的兽药使用技术管理。</w:t>
      </w:r>
    </w:p>
    <w:p w:rsidR="00C87519" w:rsidRDefault="00877676">
      <w:pPr>
        <w:pStyle w:val="affc"/>
        <w:spacing w:before="312" w:after="312"/>
      </w:pPr>
      <w:bookmarkStart w:id="38" w:name="_Toc26718931"/>
      <w:bookmarkStart w:id="39" w:name="_Toc26986772"/>
      <w:bookmarkStart w:id="40" w:name="_Toc97191424"/>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A62DEAA416EC4968A6D932A2151861B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87519" w:rsidRDefault="00877676">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87519" w:rsidRDefault="00877676">
      <w:pPr>
        <w:pStyle w:val="afffff5"/>
        <w:ind w:firstLine="420"/>
        <w:rPr>
          <w:rStyle w:val="15"/>
          <w:rFonts w:ascii="宋体" w:hAnsi="宋体"/>
          <w:color w:val="000000"/>
        </w:rPr>
      </w:pPr>
      <w:r>
        <w:rPr>
          <w:rStyle w:val="15"/>
          <w:rFonts w:hAnsi="宋体" w:hint="eastAsia"/>
          <w:color w:val="000000"/>
        </w:rPr>
        <w:t xml:space="preserve">NY/T 472  </w:t>
      </w:r>
      <w:r>
        <w:rPr>
          <w:rStyle w:val="15"/>
          <w:rFonts w:hAnsi="宋体" w:hint="eastAsia"/>
          <w:color w:val="000000"/>
        </w:rPr>
        <w:t>绿色食品</w:t>
      </w:r>
      <w:r>
        <w:rPr>
          <w:rStyle w:val="15"/>
          <w:rFonts w:hAnsi="宋体" w:hint="eastAsia"/>
          <w:color w:val="000000"/>
        </w:rPr>
        <w:t xml:space="preserve"> </w:t>
      </w:r>
      <w:r>
        <w:rPr>
          <w:rStyle w:val="15"/>
          <w:rFonts w:hAnsi="宋体" w:hint="eastAsia"/>
          <w:color w:val="000000"/>
        </w:rPr>
        <w:t>兽药使用准则</w:t>
      </w:r>
    </w:p>
    <w:p w:rsidR="00C87519" w:rsidRDefault="00877676">
      <w:pPr>
        <w:pStyle w:val="afffff5"/>
        <w:ind w:firstLine="420"/>
      </w:pPr>
      <w:r>
        <w:rPr>
          <w:rStyle w:val="15"/>
          <w:rFonts w:hAnsi="宋体" w:hint="eastAsia"/>
          <w:color w:val="000000"/>
        </w:rPr>
        <w:t xml:space="preserve">NY/T 3445  </w:t>
      </w:r>
      <w:r>
        <w:rPr>
          <w:rStyle w:val="15"/>
          <w:rFonts w:hAnsi="宋体" w:hint="eastAsia"/>
          <w:color w:val="000000"/>
        </w:rPr>
        <w:t>畜禽养殖场档案规范</w:t>
      </w:r>
    </w:p>
    <w:p w:rsidR="00C87519" w:rsidRDefault="00877676">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3E111A2891174C05A8F428780042D53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C87519" w:rsidRDefault="00877676">
          <w:pPr>
            <w:pStyle w:val="afffff5"/>
            <w:ind w:firstLine="420"/>
          </w:pPr>
          <w:r>
            <w:t>下列术语和定义适用于本文件。</w:t>
          </w:r>
        </w:p>
      </w:sdtContent>
    </w:sdt>
    <w:p w:rsidR="00C87519" w:rsidRDefault="00877676">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兽药</w:t>
      </w:r>
    </w:p>
    <w:p w:rsidR="00C87519" w:rsidRDefault="00877676">
      <w:pPr>
        <w:pStyle w:val="afffff5"/>
        <w:ind w:firstLine="420"/>
      </w:pPr>
      <w:r>
        <w:rPr>
          <w:rFonts w:hint="eastAsia"/>
        </w:rPr>
        <w:t>指用于预防、治疗、诊断畜禽等动物疫病，有目的地调节其生理机能并规范作用、用途、用法、用量的的物质（含药物饲料添加剂），主要包括：血清制品、疫苗、诊断制品、微生态制品、中药材、中成药、化学药品、抗生素、生化药品、放射性药品及外用杀虫剂、消毒剂等。</w:t>
      </w:r>
    </w:p>
    <w:p w:rsidR="00C87519" w:rsidRDefault="00877676">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兽用处方药</w:t>
      </w:r>
    </w:p>
    <w:p w:rsidR="00C87519" w:rsidRDefault="00877676">
      <w:pPr>
        <w:pStyle w:val="afffff5"/>
        <w:ind w:firstLine="420"/>
      </w:pPr>
      <w:r>
        <w:rPr>
          <w:rFonts w:hint="eastAsia"/>
        </w:rPr>
        <w:t>指凭兽医处方方可购买和使用的兽药。</w:t>
      </w:r>
    </w:p>
    <w:p w:rsidR="00C87519" w:rsidRDefault="00877676">
      <w:pPr>
        <w:pStyle w:val="afffffffffff4"/>
        <w:ind w:left="420" w:hangingChars="200" w:hanging="420"/>
        <w:rPr>
          <w:rFonts w:ascii="黑体" w:eastAsia="黑体" w:hAnsi="黑体"/>
        </w:rPr>
      </w:pPr>
      <w:r>
        <w:rPr>
          <w:rFonts w:ascii="黑体" w:eastAsia="黑体" w:hAnsi="黑体"/>
          <w:highlight w:val="lightGray"/>
        </w:rPr>
        <w:br/>
      </w:r>
      <w:r>
        <w:rPr>
          <w:rFonts w:ascii="黑体" w:eastAsia="黑体" w:hAnsi="黑体" w:hint="eastAsia"/>
        </w:rPr>
        <w:t>兽用非处方药</w:t>
      </w:r>
    </w:p>
    <w:p w:rsidR="00C87519" w:rsidRDefault="00877676">
      <w:pPr>
        <w:pStyle w:val="afffff5"/>
        <w:ind w:firstLine="420"/>
      </w:pPr>
      <w:r>
        <w:rPr>
          <w:rFonts w:hint="eastAsia"/>
        </w:rPr>
        <w:t>指由国务院兽医行政管理部门公布的、不需要凭兽医处方就可以自行购买，并按照说明书使用的兽药。</w:t>
      </w:r>
    </w:p>
    <w:p w:rsidR="00C87519" w:rsidRDefault="00877676">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兽药批准证明文件</w:t>
      </w:r>
    </w:p>
    <w:p w:rsidR="00C87519" w:rsidRDefault="00877676">
      <w:pPr>
        <w:ind w:firstLineChars="200" w:firstLine="420"/>
      </w:pPr>
      <w:r>
        <w:rPr>
          <w:rFonts w:ascii="宋体" w:hAnsi="宋体" w:hint="eastAsia"/>
        </w:rPr>
        <w:t>指兽药产品批准文号、进口兽药注册证书、出口兽药证明文件、新兽药注册证书等文件。</w:t>
      </w:r>
    </w:p>
    <w:p w:rsidR="00C87519" w:rsidRDefault="00877676">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休药期</w:t>
      </w:r>
    </w:p>
    <w:p w:rsidR="00C87519" w:rsidRDefault="00877676">
      <w:pPr>
        <w:pStyle w:val="afffffffffffa"/>
      </w:pPr>
      <w:r>
        <w:rPr>
          <w:rFonts w:hint="eastAsia"/>
        </w:rPr>
        <w:t>指食品动物最后一次给药至许可屠宰或其产品（肉、奶等）许可上市的间隔时间。</w:t>
      </w:r>
    </w:p>
    <w:p w:rsidR="00C87519" w:rsidRDefault="00877676">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不良反应</w:t>
      </w:r>
    </w:p>
    <w:p w:rsidR="00C87519" w:rsidRDefault="00877676">
      <w:pPr>
        <w:pStyle w:val="afffffffffffa"/>
      </w:pPr>
      <w:r>
        <w:rPr>
          <w:rFonts w:hint="eastAsia"/>
        </w:rPr>
        <w:t>指兽药在按规定用法用量正常应用的过程中产生的与用药目的无关或意外有害的反应。</w:t>
      </w:r>
    </w:p>
    <w:p w:rsidR="00C87519" w:rsidRDefault="00877676">
      <w:pPr>
        <w:pStyle w:val="afffffffffff4"/>
        <w:ind w:left="420" w:hangingChars="200" w:hanging="420"/>
        <w:rPr>
          <w:rFonts w:ascii="黑体" w:eastAsia="黑体" w:hAnsi="黑体"/>
        </w:rPr>
      </w:pPr>
      <w:r>
        <w:rPr>
          <w:rFonts w:ascii="黑体" w:eastAsia="黑体" w:hAnsi="黑体"/>
          <w:highlight w:val="lightGray"/>
        </w:rPr>
        <w:lastRenderedPageBreak/>
        <w:br/>
      </w:r>
      <w:r>
        <w:rPr>
          <w:rFonts w:ascii="黑体" w:eastAsia="黑体" w:hAnsi="黑体" w:hint="eastAsia"/>
        </w:rPr>
        <w:t>自检</w:t>
      </w:r>
    </w:p>
    <w:p w:rsidR="00C87519" w:rsidRDefault="00877676">
      <w:pPr>
        <w:pStyle w:val="afffffffffffa"/>
      </w:pPr>
      <w:r>
        <w:rPr>
          <w:rFonts w:hint="eastAsia"/>
        </w:rPr>
        <w:t>指肉羊场按照本规范自行对用药管理要素进行检查，并作出是否符合规定的判断。</w:t>
      </w:r>
    </w:p>
    <w:p w:rsidR="00C87519" w:rsidRDefault="00877676">
      <w:pPr>
        <w:pStyle w:val="affc"/>
        <w:spacing w:before="312" w:after="312"/>
      </w:pPr>
      <w:r>
        <w:rPr>
          <w:rFonts w:hint="eastAsia"/>
        </w:rPr>
        <w:t>人员</w:t>
      </w:r>
    </w:p>
    <w:p w:rsidR="00C87519" w:rsidRDefault="00877676">
      <w:pPr>
        <w:pStyle w:val="affffffffe"/>
      </w:pPr>
      <w:r>
        <w:rPr>
          <w:rFonts w:hint="eastAsia"/>
        </w:rPr>
        <w:t>应有专职兽药管理人员。肉羊场主要负责人、兽药管理人员、兽医等人员应熟悉兽药管理法律法规及政策规定，具备兽药、兽医专业知识。宜聘用取得执业资格或执业助理资格，并按规定在辖区农业农村主管部门备案的执业兽医师或执业助理兽医师。</w:t>
      </w:r>
    </w:p>
    <w:p w:rsidR="00C87519" w:rsidRDefault="00877676">
      <w:pPr>
        <w:pStyle w:val="affffffffe"/>
      </w:pPr>
      <w:r>
        <w:rPr>
          <w:rFonts w:hint="eastAsia"/>
        </w:rPr>
        <w:t>应定期对职工进行养殖用药知识等培训。</w:t>
      </w:r>
    </w:p>
    <w:p w:rsidR="00C87519" w:rsidRDefault="00877676">
      <w:pPr>
        <w:pStyle w:val="affffffffe"/>
        <w:rPr>
          <w:rFonts w:ascii="黑体" w:eastAsia="黑体" w:hAnsi="黑体"/>
        </w:rPr>
      </w:pPr>
      <w:r>
        <w:rPr>
          <w:rFonts w:hint="eastAsia"/>
        </w:rPr>
        <w:t>兽药管理人员和职工应取得卫生部门出具的健康证明。</w:t>
      </w:r>
    </w:p>
    <w:p w:rsidR="00C87519" w:rsidRDefault="00877676">
      <w:pPr>
        <w:pStyle w:val="affc"/>
        <w:spacing w:before="312" w:after="312"/>
      </w:pPr>
      <w:r>
        <w:rPr>
          <w:rFonts w:hint="eastAsia"/>
        </w:rPr>
        <w:t>规章制度</w:t>
      </w:r>
    </w:p>
    <w:p w:rsidR="00C87519" w:rsidRDefault="00877676">
      <w:pPr>
        <w:pStyle w:val="affffffffe"/>
      </w:pPr>
      <w:r>
        <w:rPr>
          <w:rFonts w:hint="eastAsia"/>
        </w:rPr>
        <w:t>肉羊场应建立以下工作制度：</w:t>
      </w:r>
    </w:p>
    <w:p w:rsidR="00C87519" w:rsidRDefault="00877676">
      <w:pPr>
        <w:pStyle w:val="af5"/>
        <w:numPr>
          <w:ilvl w:val="0"/>
          <w:numId w:val="32"/>
        </w:numPr>
      </w:pPr>
      <w:r>
        <w:rPr>
          <w:rFonts w:hint="eastAsia"/>
        </w:rPr>
        <w:t>兽药采购、验收、贮存管理制度；</w:t>
      </w:r>
    </w:p>
    <w:p w:rsidR="00C87519" w:rsidRDefault="00877676">
      <w:pPr>
        <w:pStyle w:val="af5"/>
      </w:pPr>
      <w:r>
        <w:rPr>
          <w:rFonts w:hint="eastAsia"/>
        </w:rPr>
        <w:t>用药、休药期管理制度；</w:t>
      </w:r>
    </w:p>
    <w:p w:rsidR="00C87519" w:rsidRDefault="00877676">
      <w:pPr>
        <w:pStyle w:val="af5"/>
      </w:pPr>
      <w:r>
        <w:rPr>
          <w:rFonts w:hint="eastAsia"/>
        </w:rPr>
        <w:t>用药不良反应报告制度；</w:t>
      </w:r>
    </w:p>
    <w:p w:rsidR="00C87519" w:rsidRDefault="00877676">
      <w:pPr>
        <w:pStyle w:val="af5"/>
      </w:pPr>
      <w:r>
        <w:rPr>
          <w:rFonts w:hint="eastAsia"/>
        </w:rPr>
        <w:t>不合格兽药和退货兽药管理制度；</w:t>
      </w:r>
    </w:p>
    <w:p w:rsidR="00C87519" w:rsidRDefault="00877676">
      <w:pPr>
        <w:pStyle w:val="af5"/>
      </w:pPr>
      <w:r>
        <w:rPr>
          <w:rFonts w:hint="eastAsia"/>
        </w:rPr>
        <w:t>兽药清理自查制度；</w:t>
      </w:r>
    </w:p>
    <w:p w:rsidR="00C87519" w:rsidRDefault="00877676">
      <w:pPr>
        <w:pStyle w:val="af5"/>
      </w:pPr>
      <w:r>
        <w:rPr>
          <w:rFonts w:hint="eastAsia"/>
        </w:rPr>
        <w:t>禁用限用药物管理制度；</w:t>
      </w:r>
    </w:p>
    <w:p w:rsidR="00C87519" w:rsidRDefault="00877676">
      <w:pPr>
        <w:pStyle w:val="af5"/>
        <w:rPr>
          <w:rFonts w:ascii="黑体" w:eastAsia="黑体" w:hAnsi="黑体"/>
        </w:rPr>
      </w:pPr>
      <w:r>
        <w:rPr>
          <w:rFonts w:hint="eastAsia"/>
        </w:rPr>
        <w:t>自检制度。</w:t>
      </w:r>
    </w:p>
    <w:p w:rsidR="00C87519" w:rsidRDefault="00877676">
      <w:pPr>
        <w:pStyle w:val="affffffffe"/>
      </w:pPr>
      <w:r>
        <w:rPr>
          <w:rFonts w:hint="eastAsia"/>
        </w:rPr>
        <w:t>肉羊场应建立以下工作记录：</w:t>
      </w:r>
    </w:p>
    <w:p w:rsidR="00C87519" w:rsidRDefault="00877676">
      <w:pPr>
        <w:pStyle w:val="af5"/>
        <w:numPr>
          <w:ilvl w:val="0"/>
          <w:numId w:val="33"/>
        </w:numPr>
      </w:pPr>
      <w:r>
        <w:rPr>
          <w:rFonts w:hint="eastAsia"/>
        </w:rPr>
        <w:t>兽药采购、验收、贮存等记录；</w:t>
      </w:r>
    </w:p>
    <w:p w:rsidR="00C87519" w:rsidRDefault="00877676">
      <w:pPr>
        <w:pStyle w:val="af5"/>
      </w:pPr>
      <w:r>
        <w:rPr>
          <w:rFonts w:hint="eastAsia"/>
        </w:rPr>
        <w:t>用药记录；</w:t>
      </w:r>
    </w:p>
    <w:p w:rsidR="00C87519" w:rsidRDefault="00877676">
      <w:pPr>
        <w:pStyle w:val="af5"/>
      </w:pPr>
      <w:r>
        <w:rPr>
          <w:rFonts w:hint="eastAsia"/>
        </w:rPr>
        <w:t>用药不良反应记录；</w:t>
      </w:r>
    </w:p>
    <w:p w:rsidR="00C87519" w:rsidRDefault="00877676">
      <w:pPr>
        <w:pStyle w:val="af5"/>
      </w:pPr>
      <w:r>
        <w:rPr>
          <w:rFonts w:hint="eastAsia"/>
        </w:rPr>
        <w:t>不合格兽药和退货兽药的处理记录；</w:t>
      </w:r>
    </w:p>
    <w:p w:rsidR="00C87519" w:rsidRDefault="00877676">
      <w:pPr>
        <w:pStyle w:val="af5"/>
      </w:pPr>
      <w:r>
        <w:rPr>
          <w:rFonts w:hint="eastAsia"/>
        </w:rPr>
        <w:t>兽药清理自查记录;</w:t>
      </w:r>
    </w:p>
    <w:p w:rsidR="00C87519" w:rsidRDefault="00877676">
      <w:pPr>
        <w:pStyle w:val="af5"/>
        <w:rPr>
          <w:rFonts w:ascii="黑体" w:eastAsia="黑体" w:hAnsi="黑体"/>
        </w:rPr>
      </w:pPr>
      <w:r>
        <w:rPr>
          <w:rFonts w:hint="eastAsia"/>
        </w:rPr>
        <w:t>自检记录。</w:t>
      </w:r>
    </w:p>
    <w:p w:rsidR="00C87519" w:rsidRDefault="00877676">
      <w:pPr>
        <w:pStyle w:val="affc"/>
        <w:spacing w:before="312" w:after="312"/>
      </w:pPr>
      <w:r>
        <w:rPr>
          <w:rFonts w:hint="eastAsia"/>
        </w:rPr>
        <w:t>采购与验收</w:t>
      </w:r>
    </w:p>
    <w:p w:rsidR="00C87519" w:rsidRDefault="00877676">
      <w:pPr>
        <w:pStyle w:val="affd"/>
        <w:spacing w:before="156" w:after="156"/>
      </w:pPr>
      <w:r>
        <w:rPr>
          <w:rFonts w:hint="eastAsia"/>
        </w:rPr>
        <w:t>采购</w:t>
      </w:r>
    </w:p>
    <w:p w:rsidR="00C87519" w:rsidRDefault="00877676">
      <w:pPr>
        <w:pStyle w:val="afffffffff1"/>
      </w:pPr>
      <w:r>
        <w:rPr>
          <w:rFonts w:hint="eastAsia"/>
        </w:rPr>
        <w:t>肉羊场应采购合法兽药产品。应对供货单位的资质、质量保证能力、质量信誉和产品批准证明文件进行审查，并与供货单位签订采购合同或留存采购凭证，应凭执业兽医师开具的兽医处方购买兽用处方药。购进兽药时，应对每批兽药的包装、标签、说明书、质量合格证等内容进行检查，符合要求的方可购进。必要时，应对购进兽药进行检验或者委托兽药检验机构进行检验，检验报告应与产品质量档案一起保存。</w:t>
      </w:r>
    </w:p>
    <w:p w:rsidR="00C87519" w:rsidRDefault="00877676">
      <w:pPr>
        <w:pStyle w:val="afffffffff1"/>
      </w:pPr>
      <w:r>
        <w:rPr>
          <w:rFonts w:hint="eastAsia"/>
        </w:rPr>
        <w:t>采购兽药应保存采购合同、采购凭证，采购兽用处方药的应保存执业兽医师开具的处方，建立真实、完整的采购记录，做到有效凭证、帐、货相符。采购验收记录载明兽药通用名称、商品名称、批准文号、批号、剂型、规格、有效期、生产单位、供货单位、购入数量、购入日期、经手人、验收人或者负责人等内容。</w:t>
      </w:r>
    </w:p>
    <w:p w:rsidR="00C87519" w:rsidRDefault="00877676">
      <w:pPr>
        <w:pStyle w:val="affd"/>
        <w:spacing w:before="156" w:after="156"/>
        <w:rPr>
          <w:rFonts w:hAnsi="黑体"/>
        </w:rPr>
      </w:pPr>
      <w:r>
        <w:rPr>
          <w:rFonts w:hint="eastAsia"/>
        </w:rPr>
        <w:lastRenderedPageBreak/>
        <w:t>验收</w:t>
      </w:r>
    </w:p>
    <w:p w:rsidR="00C87519" w:rsidRDefault="00877676">
      <w:pPr>
        <w:pStyle w:val="afffff5"/>
        <w:ind w:firstLine="420"/>
      </w:pPr>
      <w:r>
        <w:rPr>
          <w:rFonts w:hint="eastAsia"/>
        </w:rPr>
        <w:t>应查验兽药生产企业资质证明文件和兽药产品批准证明文件，包括兽药生产许可证、兽药产品批准文号批件、兽药标签和说明书批件、进口兽药注册证书等文件，并在采购验收记录上签字。可通过电脑或手机登录中国兽药信息网查询兽药产品真伪情况。</w:t>
      </w:r>
    </w:p>
    <w:p w:rsidR="00C87519" w:rsidRDefault="00877676">
      <w:pPr>
        <w:pStyle w:val="affc"/>
        <w:spacing w:before="312" w:after="312"/>
        <w:rPr>
          <w:rFonts w:hAnsi="黑体"/>
        </w:rPr>
      </w:pPr>
      <w:r>
        <w:rPr>
          <w:rFonts w:hint="eastAsia"/>
        </w:rPr>
        <w:t>入库与贮存</w:t>
      </w:r>
    </w:p>
    <w:p w:rsidR="00C87519" w:rsidRDefault="00877676">
      <w:pPr>
        <w:pStyle w:val="affd"/>
        <w:spacing w:before="156" w:after="156"/>
      </w:pPr>
      <w:r>
        <w:rPr>
          <w:rFonts w:hint="eastAsia"/>
        </w:rPr>
        <w:t>入库</w:t>
      </w:r>
    </w:p>
    <w:p w:rsidR="00C87519" w:rsidRDefault="00877676">
      <w:pPr>
        <w:pStyle w:val="afffff5"/>
        <w:ind w:firstLine="420"/>
      </w:pPr>
      <w:r>
        <w:rPr>
          <w:rFonts w:hint="eastAsia"/>
        </w:rPr>
        <w:t>兽药入库时，应进行检查验收，并做好记录。有下列情形之一的兽药，不得入库：</w:t>
      </w:r>
    </w:p>
    <w:p w:rsidR="00C87519" w:rsidRDefault="00877676">
      <w:pPr>
        <w:pStyle w:val="af5"/>
        <w:numPr>
          <w:ilvl w:val="0"/>
          <w:numId w:val="34"/>
        </w:numPr>
      </w:pPr>
      <w:r>
        <w:rPr>
          <w:rFonts w:hint="eastAsia"/>
        </w:rPr>
        <w:t>与进货单不符；</w:t>
      </w:r>
    </w:p>
    <w:p w:rsidR="00C87519" w:rsidRDefault="00877676">
      <w:pPr>
        <w:pStyle w:val="af5"/>
      </w:pPr>
      <w:r>
        <w:rPr>
          <w:rFonts w:hint="eastAsia"/>
        </w:rPr>
        <w:t>内、外包装破损可能影响产品质量；</w:t>
      </w:r>
    </w:p>
    <w:p w:rsidR="00C87519" w:rsidRDefault="00877676">
      <w:pPr>
        <w:pStyle w:val="af5"/>
      </w:pPr>
      <w:r>
        <w:rPr>
          <w:rFonts w:hint="eastAsia"/>
        </w:rPr>
        <w:t>没有标识或者标识模糊不清；</w:t>
      </w:r>
    </w:p>
    <w:p w:rsidR="00C87519" w:rsidRDefault="00877676">
      <w:pPr>
        <w:pStyle w:val="af5"/>
      </w:pPr>
      <w:r>
        <w:rPr>
          <w:rFonts w:hint="eastAsia"/>
        </w:rPr>
        <w:t>质量异常；</w:t>
      </w:r>
    </w:p>
    <w:p w:rsidR="00C87519" w:rsidRDefault="00877676">
      <w:pPr>
        <w:pStyle w:val="af5"/>
      </w:pPr>
      <w:r>
        <w:rPr>
          <w:rFonts w:hint="eastAsia"/>
        </w:rPr>
        <w:t>其他不符合规定。</w:t>
      </w:r>
    </w:p>
    <w:p w:rsidR="00C87519" w:rsidRDefault="00877676">
      <w:pPr>
        <w:pStyle w:val="affd"/>
        <w:spacing w:before="156" w:after="156"/>
      </w:pPr>
      <w:r>
        <w:rPr>
          <w:rFonts w:hint="eastAsia"/>
        </w:rPr>
        <w:t>贮存</w:t>
      </w:r>
    </w:p>
    <w:p w:rsidR="00C87519" w:rsidRDefault="00877676">
      <w:pPr>
        <w:pStyle w:val="afffff5"/>
        <w:ind w:firstLine="420"/>
      </w:pPr>
      <w:r>
        <w:rPr>
          <w:rFonts w:hint="eastAsia"/>
        </w:rPr>
        <w:t>兽药贮存应具有固定的、相对独立的能够保证兽药质量的冷柜和相关设施、设备，并且与生活区域、养殖区域分别独立设置，避免交叉污染。仓库面积和相关设施、设备能够满足合格兽药区、不合格兽药区等不同区域划分和不同兽药品种分区、分类保管、贮存的要求。仓库的地面、墙壁、顶棚等平整、光洁，门、窗严密、易清洁。</w:t>
      </w:r>
    </w:p>
    <w:p w:rsidR="00C87519" w:rsidRDefault="00877676">
      <w:pPr>
        <w:pStyle w:val="afffffffff1"/>
      </w:pPr>
      <w:r>
        <w:rPr>
          <w:rFonts w:hint="eastAsia"/>
        </w:rPr>
        <w:t>按照品种、类别、用途以及温度、湿度等贮存要求，分类、分区或者专库、专柜存放，具体要求如下：</w:t>
      </w:r>
    </w:p>
    <w:p w:rsidR="00C87519" w:rsidRDefault="00877676">
      <w:pPr>
        <w:pStyle w:val="af5"/>
        <w:numPr>
          <w:ilvl w:val="0"/>
          <w:numId w:val="35"/>
        </w:numPr>
      </w:pPr>
      <w:r>
        <w:rPr>
          <w:rFonts w:hint="eastAsia"/>
        </w:rPr>
        <w:t>常温：系指10℃</w:t>
      </w:r>
      <w:r w:rsidR="00102690">
        <w:rPr>
          <w:rFonts w:hint="eastAsia"/>
        </w:rPr>
        <w:t>～</w:t>
      </w:r>
      <w:r>
        <w:rPr>
          <w:rFonts w:hint="eastAsia"/>
        </w:rPr>
        <w:t>30℃；</w:t>
      </w:r>
    </w:p>
    <w:p w:rsidR="00C87519" w:rsidRDefault="00877676">
      <w:pPr>
        <w:pStyle w:val="af5"/>
      </w:pPr>
      <w:r>
        <w:rPr>
          <w:rFonts w:hint="eastAsia"/>
        </w:rPr>
        <w:t>室温：系指</w:t>
      </w:r>
      <w:r w:rsidR="00102690">
        <w:rPr>
          <w:rFonts w:hint="eastAsia"/>
        </w:rPr>
        <w:t>15</w:t>
      </w:r>
      <w:r>
        <w:rPr>
          <w:rFonts w:hint="eastAsia"/>
        </w:rPr>
        <w:t>℃</w:t>
      </w:r>
      <w:r w:rsidR="00102690">
        <w:rPr>
          <w:rFonts w:hint="eastAsia"/>
        </w:rPr>
        <w:t>～25</w:t>
      </w:r>
      <w:r>
        <w:rPr>
          <w:rFonts w:hint="eastAsia"/>
        </w:rPr>
        <w:t>℃；</w:t>
      </w:r>
    </w:p>
    <w:p w:rsidR="00C87519" w:rsidRDefault="00877676">
      <w:pPr>
        <w:pStyle w:val="af5"/>
      </w:pPr>
      <w:r>
        <w:rPr>
          <w:rFonts w:hint="eastAsia"/>
        </w:rPr>
        <w:t>阴凉处：系指不超过</w:t>
      </w:r>
      <w:r w:rsidR="00102690">
        <w:rPr>
          <w:rFonts w:hint="eastAsia"/>
        </w:rPr>
        <w:t>20</w:t>
      </w:r>
      <w:r>
        <w:rPr>
          <w:rFonts w:hint="eastAsia"/>
        </w:rPr>
        <w:t>℃；</w:t>
      </w:r>
    </w:p>
    <w:p w:rsidR="00C87519" w:rsidRDefault="00877676">
      <w:pPr>
        <w:pStyle w:val="af5"/>
      </w:pPr>
      <w:r>
        <w:rPr>
          <w:rFonts w:hint="eastAsia"/>
        </w:rPr>
        <w:t>凉暗处：系指避光并不超过</w:t>
      </w:r>
      <w:r w:rsidR="00102690">
        <w:rPr>
          <w:rFonts w:hint="eastAsia"/>
        </w:rPr>
        <w:t>20</w:t>
      </w:r>
      <w:r>
        <w:rPr>
          <w:rFonts w:hint="eastAsia"/>
        </w:rPr>
        <w:t>℃；</w:t>
      </w:r>
    </w:p>
    <w:p w:rsidR="00C87519" w:rsidRDefault="00877676">
      <w:pPr>
        <w:pStyle w:val="af5"/>
      </w:pPr>
      <w:r>
        <w:rPr>
          <w:rFonts w:hint="eastAsia"/>
        </w:rPr>
        <w:t>冷藏：系指</w:t>
      </w:r>
      <w:r w:rsidR="00102690">
        <w:rPr>
          <w:rFonts w:hint="eastAsia"/>
        </w:rPr>
        <w:t>2</w:t>
      </w:r>
      <w:r>
        <w:rPr>
          <w:rFonts w:hint="eastAsia"/>
        </w:rPr>
        <w:t>℃</w:t>
      </w:r>
      <w:r w:rsidR="00102690">
        <w:rPr>
          <w:rFonts w:hint="eastAsia"/>
        </w:rPr>
        <w:t>～8</w:t>
      </w:r>
      <w:r>
        <w:rPr>
          <w:rFonts w:hint="eastAsia"/>
        </w:rPr>
        <w:t>℃；</w:t>
      </w:r>
    </w:p>
    <w:p w:rsidR="00C87519" w:rsidRDefault="00877676">
      <w:pPr>
        <w:pStyle w:val="af5"/>
      </w:pPr>
      <w:r>
        <w:rPr>
          <w:rFonts w:hint="eastAsia"/>
        </w:rPr>
        <w:t>冷冻：除另有规定外，系指</w:t>
      </w:r>
      <w:r w:rsidR="00102690">
        <w:rPr>
          <w:rFonts w:hint="eastAsia"/>
        </w:rPr>
        <w:t>-15</w:t>
      </w:r>
      <w:r>
        <w:rPr>
          <w:rFonts w:hint="eastAsia"/>
        </w:rPr>
        <w:t>℃以下。</w:t>
      </w:r>
    </w:p>
    <w:p w:rsidR="00C87519" w:rsidRDefault="00877676">
      <w:pPr>
        <w:pStyle w:val="afffffffff1"/>
      </w:pPr>
      <w:r>
        <w:rPr>
          <w:rFonts w:hint="eastAsia"/>
        </w:rPr>
        <w:t>按照兽药外包装图示标志的要求搬运和存放。</w:t>
      </w:r>
    </w:p>
    <w:p w:rsidR="00C87519" w:rsidRDefault="00877676">
      <w:pPr>
        <w:pStyle w:val="afffffffff1"/>
      </w:pPr>
      <w:r>
        <w:rPr>
          <w:rFonts w:hint="eastAsia"/>
        </w:rPr>
        <w:t>与仓库地面、墙、顶等之间保持一定间距，保证消防通道的畅通。</w:t>
      </w:r>
    </w:p>
    <w:p w:rsidR="00C87519" w:rsidRDefault="00877676">
      <w:pPr>
        <w:pStyle w:val="afffffffff1"/>
      </w:pPr>
      <w:r>
        <w:rPr>
          <w:rFonts w:hint="eastAsia"/>
        </w:rPr>
        <w:t>内用兽药与外用兽药分开存放，兽用处方药与非处方药分开存放；易串味兽药等特殊兽药与其他兽药分库存放。</w:t>
      </w:r>
    </w:p>
    <w:p w:rsidR="00C87519" w:rsidRDefault="00877676">
      <w:pPr>
        <w:pStyle w:val="afffffffff1"/>
        <w:rPr>
          <w:rFonts w:ascii="黑体" w:eastAsia="黑体" w:hAnsi="黑体"/>
        </w:rPr>
      </w:pPr>
      <w:r>
        <w:rPr>
          <w:rFonts w:hint="eastAsia"/>
        </w:rPr>
        <w:t>同一企业同一批号的产品集中存放。</w:t>
      </w:r>
    </w:p>
    <w:p w:rsidR="00C87519" w:rsidRDefault="00877676">
      <w:pPr>
        <w:pStyle w:val="afffffffff1"/>
      </w:pPr>
      <w:r>
        <w:rPr>
          <w:rFonts w:hint="eastAsia"/>
        </w:rPr>
        <w:t>不同区域、不同类型的兽药应具有明显的识别标识。标识应放置准确、字迹清楚。</w:t>
      </w:r>
    </w:p>
    <w:p w:rsidR="00C87519" w:rsidRDefault="00877676">
      <w:pPr>
        <w:pStyle w:val="afffffffff1"/>
      </w:pPr>
      <w:r>
        <w:rPr>
          <w:rFonts w:hint="eastAsia"/>
        </w:rPr>
        <w:t>应定期对兽药及其贮存的条件和设施、设备的运行状态进行检查，并做好记录。</w:t>
      </w:r>
    </w:p>
    <w:p w:rsidR="00C87519" w:rsidRDefault="00877676">
      <w:pPr>
        <w:pStyle w:val="affc"/>
        <w:spacing w:before="312" w:after="312"/>
      </w:pPr>
      <w:r>
        <w:rPr>
          <w:rFonts w:hint="eastAsia"/>
        </w:rPr>
        <w:t>用药</w:t>
      </w:r>
    </w:p>
    <w:p w:rsidR="00C87519" w:rsidRDefault="00877676">
      <w:pPr>
        <w:pStyle w:val="affffffffe"/>
      </w:pPr>
      <w:r>
        <w:rPr>
          <w:rFonts w:hint="eastAsia"/>
        </w:rPr>
        <w:t>宜优先预防肉羊疫病，应结合当地实际情况进行疫病的预防接种。</w:t>
      </w:r>
    </w:p>
    <w:p w:rsidR="00C87519" w:rsidRDefault="00877676">
      <w:pPr>
        <w:pStyle w:val="affffffffe"/>
      </w:pPr>
      <w:r>
        <w:rPr>
          <w:rFonts w:hint="eastAsia"/>
        </w:rPr>
        <w:t>应建立严格的生物安全体系，防止肉羊疫病的发生，最大限度地减少兽药的使用。</w:t>
      </w:r>
    </w:p>
    <w:p w:rsidR="00C87519" w:rsidRDefault="00877676">
      <w:pPr>
        <w:pStyle w:val="affffffffe"/>
      </w:pPr>
      <w:r>
        <w:rPr>
          <w:rFonts w:hint="eastAsia"/>
        </w:rPr>
        <w:t>确需使用兽药的，应在执业兽医的指导下合理规范用药，并建立用药记录。</w:t>
      </w:r>
    </w:p>
    <w:p w:rsidR="00C87519" w:rsidRDefault="00877676">
      <w:pPr>
        <w:pStyle w:val="affffffffe"/>
      </w:pPr>
      <w:r>
        <w:rPr>
          <w:rFonts w:hint="eastAsia"/>
        </w:rPr>
        <w:t>慎用作用于神经系统、循环系统、呼吸系统、泌尿系统的兽药。</w:t>
      </w:r>
    </w:p>
    <w:p w:rsidR="00C87519" w:rsidRDefault="00877676">
      <w:pPr>
        <w:pStyle w:val="affffffffe"/>
      </w:pPr>
      <w:r>
        <w:rPr>
          <w:rFonts w:hint="eastAsia"/>
        </w:rPr>
        <w:lastRenderedPageBreak/>
        <w:t>有休药期规定的兽药用于肉羊时，应向购买者或者屠宰者提供准确、真实的用药记录。</w:t>
      </w:r>
    </w:p>
    <w:p w:rsidR="00C87519" w:rsidRDefault="00877676">
      <w:pPr>
        <w:pStyle w:val="affffffffe"/>
      </w:pPr>
      <w:r>
        <w:rPr>
          <w:rFonts w:hint="eastAsia"/>
        </w:rPr>
        <w:t>用药记录应载明兽药的通用名称、商品名称、批准文号、批号、剂型、规格、有效期、生产企业、用药日期、用药数量、休药期、兽医、负责人等内容。</w:t>
      </w:r>
    </w:p>
    <w:p w:rsidR="00C87519" w:rsidRDefault="00877676">
      <w:pPr>
        <w:pStyle w:val="affc"/>
        <w:spacing w:before="312" w:after="312"/>
        <w:rPr>
          <w:rFonts w:hAnsi="黑体"/>
        </w:rPr>
      </w:pPr>
      <w:r>
        <w:rPr>
          <w:rFonts w:hint="eastAsia"/>
        </w:rPr>
        <w:t>不良反应报告</w:t>
      </w:r>
    </w:p>
    <w:p w:rsidR="00C87519" w:rsidRDefault="00877676">
      <w:pPr>
        <w:pStyle w:val="afffff5"/>
        <w:ind w:firstLine="420"/>
      </w:pPr>
      <w:r>
        <w:rPr>
          <w:rFonts w:hint="eastAsia"/>
        </w:rPr>
        <w:t>应严格执行不良反应报告制度，注意收集兽药使用信息，发现可能与兽药使用有关的严重不良反</w:t>
      </w:r>
    </w:p>
    <w:p w:rsidR="00C87519" w:rsidRDefault="00877676">
      <w:pPr>
        <w:rPr>
          <w:rFonts w:ascii="宋体" w:hAnsi="宋体"/>
        </w:rPr>
      </w:pPr>
      <w:r>
        <w:rPr>
          <w:rFonts w:ascii="宋体" w:hAnsi="宋体" w:hint="eastAsia"/>
        </w:rPr>
        <w:t>应，立即向辖区农业农村主管部门报告。</w:t>
      </w:r>
    </w:p>
    <w:p w:rsidR="00C87519" w:rsidRDefault="00877676">
      <w:pPr>
        <w:pStyle w:val="affc"/>
        <w:spacing w:before="312" w:after="312"/>
        <w:rPr>
          <w:rFonts w:hAnsi="宋体"/>
        </w:rPr>
      </w:pPr>
      <w:r>
        <w:rPr>
          <w:rFonts w:hint="eastAsia"/>
        </w:rPr>
        <w:t>自检</w:t>
      </w:r>
    </w:p>
    <w:p w:rsidR="00C87519" w:rsidRDefault="00877676">
      <w:pPr>
        <w:pStyle w:val="afffff5"/>
        <w:ind w:firstLine="420"/>
        <w:rPr>
          <w:rFonts w:hAnsi="宋体"/>
        </w:rPr>
      </w:pPr>
      <w:r>
        <w:rPr>
          <w:rFonts w:hint="eastAsia"/>
        </w:rPr>
        <w:t>应严格执行自检制度，能够定期开展自检工作。每半年均能对用药管理要素开展至少一次的全</w:t>
      </w:r>
      <w:r>
        <w:rPr>
          <w:rFonts w:hAnsi="宋体" w:hint="eastAsia"/>
        </w:rPr>
        <w:t>面自检，对发现的问题能够及时进行整改并复查，保证肉羊生产管理水平不断提高。</w:t>
      </w:r>
    </w:p>
    <w:p w:rsidR="00C87519" w:rsidRDefault="00877676">
      <w:pPr>
        <w:pStyle w:val="affc"/>
        <w:spacing w:before="312" w:after="312"/>
        <w:rPr>
          <w:rFonts w:hAnsi="宋体"/>
        </w:rPr>
      </w:pPr>
      <w:r>
        <w:rPr>
          <w:rFonts w:hint="eastAsia"/>
        </w:rPr>
        <w:t>档案</w:t>
      </w:r>
    </w:p>
    <w:p w:rsidR="00C87519" w:rsidRDefault="00877676">
      <w:pPr>
        <w:pStyle w:val="affffffffe"/>
        <w:rPr>
          <w:rFonts w:hAnsi="黑体"/>
        </w:rPr>
      </w:pPr>
      <w:r>
        <w:rPr>
          <w:rFonts w:hint="eastAsia"/>
        </w:rPr>
        <w:t>应建立质量管理档案，设置档案管理室或者档案柜，并有专人负责。</w:t>
      </w:r>
    </w:p>
    <w:p w:rsidR="00C87519" w:rsidRDefault="00877676">
      <w:pPr>
        <w:pStyle w:val="affffffffe"/>
      </w:pPr>
      <w:r>
        <w:rPr>
          <w:rFonts w:hint="eastAsia"/>
        </w:rPr>
        <w:t>质量管理档案包括下列内容：</w:t>
      </w:r>
    </w:p>
    <w:p w:rsidR="00C87519" w:rsidRDefault="00877676" w:rsidP="00F97C81">
      <w:pPr>
        <w:pStyle w:val="af5"/>
        <w:numPr>
          <w:ilvl w:val="0"/>
          <w:numId w:val="37"/>
        </w:numPr>
      </w:pPr>
      <w:r>
        <w:rPr>
          <w:rFonts w:hint="eastAsia"/>
        </w:rPr>
        <w:t>人员档案、设备设施档案、供应商质量评估档案等；</w:t>
      </w:r>
    </w:p>
    <w:p w:rsidR="00C87519" w:rsidRDefault="00877676">
      <w:pPr>
        <w:pStyle w:val="af5"/>
      </w:pPr>
      <w:r>
        <w:rPr>
          <w:rFonts w:hint="eastAsia"/>
        </w:rPr>
        <w:t>兽医处方笺、购药凭证、合同等；</w:t>
      </w:r>
    </w:p>
    <w:p w:rsidR="00C87519" w:rsidRDefault="00877676">
      <w:pPr>
        <w:pStyle w:val="af5"/>
      </w:pPr>
      <w:r>
        <w:rPr>
          <w:rFonts w:hint="eastAsia"/>
        </w:rPr>
        <w:t>兽药采购验收记录、用药记录及其他各项记录；</w:t>
      </w:r>
      <w:bookmarkStart w:id="44" w:name="_GoBack"/>
      <w:bookmarkEnd w:id="44"/>
    </w:p>
    <w:p w:rsidR="00C87519" w:rsidRDefault="00877676">
      <w:pPr>
        <w:pStyle w:val="af5"/>
        <w:rPr>
          <w:rFonts w:ascii="黑体" w:eastAsia="黑体" w:hAnsi="黑体"/>
        </w:rPr>
      </w:pPr>
      <w:r>
        <w:rPr>
          <w:rFonts w:hint="eastAsia"/>
        </w:rPr>
        <w:t>兽医行政管理部门的监督检查记录。</w:t>
      </w:r>
    </w:p>
    <w:p w:rsidR="00C87519" w:rsidRDefault="00877676">
      <w:pPr>
        <w:pStyle w:val="affffffffe"/>
      </w:pPr>
      <w:r>
        <w:rPr>
          <w:rFonts w:hint="eastAsia"/>
        </w:rPr>
        <w:t>质量管理档案保存期限不得少于10年。</w:t>
      </w:r>
    </w:p>
    <w:p w:rsidR="00C87519" w:rsidRDefault="00C87519">
      <w:pPr>
        <w:pStyle w:val="af8"/>
        <w:rPr>
          <w:vanish w:val="0"/>
        </w:rPr>
      </w:pPr>
      <w:bookmarkStart w:id="45" w:name="BookMark5"/>
      <w:bookmarkEnd w:id="22"/>
    </w:p>
    <w:p w:rsidR="00C87519" w:rsidRDefault="00C87519">
      <w:pPr>
        <w:pStyle w:val="afe"/>
        <w:rPr>
          <w:vanish w:val="0"/>
        </w:rPr>
      </w:pPr>
    </w:p>
    <w:p w:rsidR="00C87519" w:rsidRDefault="00877676">
      <w:pPr>
        <w:pStyle w:val="afffff5"/>
        <w:ind w:firstLineChars="0" w:firstLine="0"/>
        <w:jc w:val="center"/>
      </w:pPr>
      <w:bookmarkStart w:id="46" w:name="BookMark8"/>
      <w:bookmarkEnd w:id="45"/>
      <w:r>
        <w:rPr>
          <w:noProof/>
        </w:rPr>
        <w:drawing>
          <wp:inline distT="0" distB="0" distL="0" distR="0" wp14:anchorId="7171A814" wp14:editId="304A0C7D">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a:stretch>
                      <a:fillRect/>
                    </a:stretch>
                  </pic:blipFill>
                  <pic:spPr>
                    <a:xfrm>
                      <a:off x="0" y="0"/>
                      <a:ext cx="1485900" cy="317500"/>
                    </a:xfrm>
                    <a:prstGeom prst="rect">
                      <a:avLst/>
                    </a:prstGeom>
                  </pic:spPr>
                </pic:pic>
              </a:graphicData>
            </a:graphic>
          </wp:inline>
        </w:drawing>
      </w:r>
      <w:bookmarkEnd w:id="46"/>
    </w:p>
    <w:sectPr w:rsidR="00C87519">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0D4" w:rsidRDefault="009A20D4">
      <w:pPr>
        <w:spacing w:line="240" w:lineRule="auto"/>
      </w:pPr>
      <w:r>
        <w:separator/>
      </w:r>
    </w:p>
  </w:endnote>
  <w:endnote w:type="continuationSeparator" w:id="0">
    <w:p w:rsidR="009A20D4" w:rsidRDefault="009A2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19" w:rsidRDefault="00877676">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19" w:rsidRDefault="00C87519">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19" w:rsidRDefault="00C8751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19" w:rsidRDefault="00877676">
    <w:pPr>
      <w:pStyle w:val="afffff2"/>
    </w:pPr>
    <w:r>
      <w:fldChar w:fldCharType="begin"/>
    </w:r>
    <w:r>
      <w:instrText>PAGE   \* MERGEFORMAT</w:instrText>
    </w:r>
    <w:r>
      <w:fldChar w:fldCharType="separate"/>
    </w:r>
    <w:r w:rsidR="00F97C81" w:rsidRPr="00F97C81">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0D4" w:rsidRDefault="009A20D4">
      <w:pPr>
        <w:spacing w:line="240" w:lineRule="auto"/>
      </w:pPr>
      <w:r>
        <w:separator/>
      </w:r>
    </w:p>
  </w:footnote>
  <w:footnote w:type="continuationSeparator" w:id="0">
    <w:p w:rsidR="009A20D4" w:rsidRDefault="009A2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19" w:rsidRDefault="00C87519">
    <w:pPr>
      <w:pStyle w:val="afff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19" w:rsidRDefault="00877676">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19" w:rsidRDefault="00C87519">
    <w:pPr>
      <w:pStyle w:val="affff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19" w:rsidRDefault="00877676">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519" w:rsidRDefault="00877676">
    <w:pPr>
      <w:pStyle w:val="afffffa"/>
    </w:pPr>
    <w:r>
      <w:fldChar w:fldCharType="begin"/>
    </w:r>
    <w:r>
      <w:instrText xml:space="preserve"> STYLEREF  标准文件_文件编号  \* MERGEFORMAT </w:instrText>
    </w:r>
    <w:r>
      <w:fldChar w:fldCharType="separate"/>
    </w:r>
    <w:r w:rsidR="00F97C81">
      <w:rPr>
        <w:noProof/>
      </w:rPr>
      <w:t>DB 4107/T XXXX</w:t>
    </w:r>
    <w:r w:rsidR="00F97C81">
      <w:rPr>
        <w:noProof/>
      </w:rPr>
      <w:t>—</w:t>
    </w:r>
    <w:r w:rsidR="00F97C81">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71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US" w:vendorID="64" w:dllVersion="131078" w:nlCheck="1" w:checkStyle="0"/>
  <w:activeWritingStyle w:appName="MSWord" w:lang="zh-CN" w:vendorID="64" w:dllVersion="131077" w:nlCheck="1" w:checkStyle="1"/>
  <w:documentProtection w:edit="forms" w:enforcement="1" w:cryptProviderType="rsaFull" w:cryptAlgorithmClass="hash" w:cryptAlgorithmType="typeAny" w:cryptAlgorithmSid="4" w:cryptSpinCount="100000" w:hash="Ot3dsAD9xS8u6mRR+poJLlCrn7E=" w:salt="CUVHetDUOSkGq9H+cYGbK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ODYwNzE0YmNjMDk0ZmQ4ODA2MTVhYWE5YmFlZDMifQ=="/>
  </w:docVars>
  <w:rsids>
    <w:rsidRoot w:val="0039206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2690"/>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06A"/>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180"/>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767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7F6"/>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0D4"/>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379D9"/>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95D"/>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87519"/>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3A31"/>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81"/>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38C716D"/>
    <w:rsid w:val="72EFA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236C905"/>
  <w15:docId w15:val="{7DFCA225-209A-4CD6-A0B2-1BE69A56F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qFormat/>
    <w:pPr>
      <w:widowControl/>
      <w:numPr>
        <w:ilvl w:val="4"/>
      </w:numPr>
      <w:ind w:left="0"/>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afffffffffffa">
    <w:name w:val="段"/>
    <w:basedOn w:val="afff5"/>
    <w:pPr>
      <w:widowControl/>
      <w:autoSpaceDE w:val="0"/>
      <w:autoSpaceDN w:val="0"/>
      <w:adjustRightInd/>
      <w:spacing w:line="240" w:lineRule="auto"/>
      <w:ind w:firstLineChars="200" w:firstLine="420"/>
    </w:pPr>
    <w:rPr>
      <w:rFonts w:ascii="宋体" w:hAnsi="宋体" w:cs="宋体"/>
      <w:kern w:val="0"/>
    </w:rPr>
  </w:style>
  <w:style w:type="paragraph" w:customStyle="1" w:styleId="13">
    <w:name w:val="正文1"/>
    <w:pPr>
      <w:jc w:val="both"/>
    </w:pPr>
    <w:rPr>
      <w:rFonts w:ascii="Times New Roman" w:hAnsi="Times New Roman"/>
      <w:kern w:val="2"/>
      <w:sz w:val="21"/>
      <w:szCs w:val="21"/>
    </w:rPr>
  </w:style>
  <w:style w:type="character" w:customStyle="1" w:styleId="15">
    <w:name w:val="15"/>
    <w:basedOn w:val="afff6"/>
    <w:qFormat/>
    <w:rPr>
      <w:rFonts w:ascii="Times New Roman" w:hAnsi="Times New Roman" w:cs="Times New Roman" w:hint="default"/>
      <w:color w:val="3A3D3E"/>
      <w:sz w:val="21"/>
      <w:szCs w:val="21"/>
    </w:rPr>
  </w:style>
  <w:style w:type="paragraph" w:customStyle="1" w:styleId="afffffffffffb">
    <w:name w:val="一级条标题"/>
    <w:basedOn w:val="afff5"/>
    <w:next w:val="afffffffffffa"/>
    <w:pPr>
      <w:widowControl/>
      <w:adjustRightInd/>
      <w:spacing w:beforeLines="50" w:afterLines="50" w:line="240" w:lineRule="auto"/>
      <w:jc w:val="left"/>
      <w:outlineLvl w:val="2"/>
    </w:pPr>
    <w:rPr>
      <w:rFonts w:ascii="黑体" w:eastAsia="黑体" w:hAnsi="黑体" w:cs="宋体"/>
      <w:kern w:val="0"/>
    </w:rPr>
  </w:style>
  <w:style w:type="paragraph" w:customStyle="1" w:styleId="afffffffffffc">
    <w:name w:val="章标题"/>
    <w:basedOn w:val="afff5"/>
    <w:next w:val="afffffffffffa"/>
    <w:pPr>
      <w:widowControl/>
      <w:adjustRightInd/>
      <w:spacing w:beforeLines="100" w:afterLines="100" w:line="240" w:lineRule="auto"/>
      <w:outlineLvl w:val="1"/>
    </w:pPr>
    <w:rPr>
      <w:rFonts w:ascii="黑体" w:eastAsia="黑体" w:hAnsi="黑体" w:cs="宋体"/>
      <w:kern w:val="0"/>
    </w:rPr>
  </w:style>
  <w:style w:type="paragraph" w:customStyle="1" w:styleId="afffffffffffd">
    <w:name w:val="二级条标题"/>
    <w:basedOn w:val="afffffffffffb"/>
    <w:next w:val="afffffffffffa"/>
    <w:pPr>
      <w:outlineLvl w:val="3"/>
    </w:pPr>
  </w:style>
  <w:style w:type="paragraph" w:customStyle="1" w:styleId="afffffffffffe">
    <w:name w:val="三级条标题"/>
    <w:basedOn w:val="afffffffffffd"/>
    <w:next w:val="afffffffffffa"/>
    <w:qFormat/>
    <w:pPr>
      <w:outlineLvl w:val="4"/>
    </w:pPr>
  </w:style>
  <w:style w:type="paragraph" w:customStyle="1" w:styleId="affffffffffff">
    <w:name w:val="字母编号列项（一级）"/>
    <w:basedOn w:val="afff5"/>
    <w:pPr>
      <w:widowControl/>
      <w:adjustRightInd/>
      <w:spacing w:before="100" w:beforeAutospacing="1" w:after="100" w:afterAutospacing="1" w:line="240" w:lineRule="auto"/>
      <w:ind w:left="839" w:hanging="419"/>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975A923B47246D6BED454964269E5D6"/>
        <w:category>
          <w:name w:val="常规"/>
          <w:gallery w:val="placeholder"/>
        </w:category>
        <w:types>
          <w:type w:val="bbPlcHdr"/>
        </w:types>
        <w:behaviors>
          <w:behavior w:val="content"/>
        </w:behaviors>
        <w:guid w:val="{B2E26532-266D-4749-8AC7-473F979F47CA}"/>
      </w:docPartPr>
      <w:docPartBody>
        <w:p w:rsidR="00FD0449" w:rsidRDefault="00E5482A">
          <w:pPr>
            <w:pStyle w:val="8975A923B47246D6BED454964269E5D6"/>
          </w:pPr>
          <w:r>
            <w:rPr>
              <w:rStyle w:val="a3"/>
              <w:rFonts w:hint="eastAsia"/>
            </w:rPr>
            <w:t>单击或点击此处输入文字。</w:t>
          </w:r>
        </w:p>
      </w:docPartBody>
    </w:docPart>
    <w:docPart>
      <w:docPartPr>
        <w:name w:val="A62DEAA416EC4968A6D932A2151861B4"/>
        <w:category>
          <w:name w:val="常规"/>
          <w:gallery w:val="placeholder"/>
        </w:category>
        <w:types>
          <w:type w:val="bbPlcHdr"/>
        </w:types>
        <w:behaviors>
          <w:behavior w:val="content"/>
        </w:behaviors>
        <w:guid w:val="{13C23C5E-4E11-4B53-BCF4-0BC9881592C8}"/>
      </w:docPartPr>
      <w:docPartBody>
        <w:p w:rsidR="00FD0449" w:rsidRDefault="00E5482A">
          <w:pPr>
            <w:pStyle w:val="A62DEAA416EC4968A6D932A2151861B4"/>
          </w:pPr>
          <w:r>
            <w:rPr>
              <w:rStyle w:val="a3"/>
              <w:rFonts w:hint="eastAsia"/>
            </w:rPr>
            <w:t>选择一项。</w:t>
          </w:r>
        </w:p>
      </w:docPartBody>
    </w:docPart>
    <w:docPart>
      <w:docPartPr>
        <w:name w:val="3E111A2891174C05A8F428780042D535"/>
        <w:category>
          <w:name w:val="常规"/>
          <w:gallery w:val="placeholder"/>
        </w:category>
        <w:types>
          <w:type w:val="bbPlcHdr"/>
        </w:types>
        <w:behaviors>
          <w:behavior w:val="content"/>
        </w:behaviors>
        <w:guid w:val="{6C477058-7BE7-4D2A-84D5-2C7C005A1F15}"/>
      </w:docPartPr>
      <w:docPartBody>
        <w:p w:rsidR="00FD0449" w:rsidRDefault="00E5482A">
          <w:pPr>
            <w:pStyle w:val="3E111A2891174C05A8F428780042D53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05A"/>
    <w:rsid w:val="0083705A"/>
    <w:rsid w:val="00E5482A"/>
    <w:rsid w:val="00EE469B"/>
    <w:rsid w:val="00FD0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975A923B47246D6BED454964269E5D6">
    <w:name w:val="8975A923B47246D6BED454964269E5D6"/>
    <w:pPr>
      <w:widowControl w:val="0"/>
      <w:jc w:val="both"/>
    </w:pPr>
    <w:rPr>
      <w:kern w:val="2"/>
      <w:sz w:val="21"/>
      <w:szCs w:val="22"/>
    </w:rPr>
  </w:style>
  <w:style w:type="paragraph" w:customStyle="1" w:styleId="A62DEAA416EC4968A6D932A2151861B4">
    <w:name w:val="A62DEAA416EC4968A6D932A2151861B4"/>
    <w:qFormat/>
    <w:pPr>
      <w:widowControl w:val="0"/>
      <w:jc w:val="both"/>
    </w:pPr>
    <w:rPr>
      <w:kern w:val="2"/>
      <w:sz w:val="21"/>
      <w:szCs w:val="22"/>
    </w:rPr>
  </w:style>
  <w:style w:type="paragraph" w:customStyle="1" w:styleId="3E111A2891174C05A8F428780042D535">
    <w:name w:val="3E111A2891174C05A8F428780042D53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562</Words>
  <Characters>3209</Characters>
  <Application>Microsoft Office Word</Application>
  <DocSecurity>0</DocSecurity>
  <Lines>26</Lines>
  <Paragraphs>7</Paragraphs>
  <ScaleCrop>false</ScaleCrop>
  <Company>PCMI</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AutoBVT</cp:lastModifiedBy>
  <cp:revision>4</cp:revision>
  <cp:lastPrinted>2020-08-30T18:00:00Z</cp:lastPrinted>
  <dcterms:created xsi:type="dcterms:W3CDTF">2024-10-14T15:36:00Z</dcterms:created>
  <dcterms:modified xsi:type="dcterms:W3CDTF">2025-03-04T00:50:00Z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2052-11.8.2.10337</vt:lpwstr>
  </property>
  <property fmtid="{D5CDD505-2E9C-101B-9397-08002B2CF9AE}" pid="15" name="ICV">
    <vt:lpwstr>7DD00515EF80427CA691199EFBE77A2C_12</vt:lpwstr>
  </property>
</Properties>
</file>